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1170"/>
        <w:gridCol w:w="3147"/>
        <w:gridCol w:w="6926"/>
        <w:gridCol w:w="1897"/>
        <w:gridCol w:w="1530"/>
      </w:tblGrid>
      <w:tr w:rsidR="0059205E" w14:paraId="7098894C" w14:textId="77777777" w:rsidTr="0059205E">
        <w:tc>
          <w:tcPr>
            <w:tcW w:w="117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DD37FE6" w14:textId="6305AD02" w:rsidR="0059205E" w:rsidRPr="007521A3" w:rsidRDefault="0059205E" w:rsidP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147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5DE78E4" w14:textId="6BCB099B" w:rsidR="0059205E" w:rsidRPr="007521A3" w:rsidRDefault="0059205E" w:rsidP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6926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2D0909C" w14:textId="673C5E04" w:rsidR="0059205E" w:rsidRPr="007521A3" w:rsidRDefault="0059205E" w:rsidP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1EFB013" w14:textId="77777777" w:rsidR="0059205E" w:rsidRPr="007521A3" w:rsidRDefault="0059205E" w:rsidP="00592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7521A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1648529E" w14:textId="33427C9B" w:rsidR="0059205E" w:rsidRPr="007521A3" w:rsidRDefault="0059205E" w:rsidP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53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6F9635BD" w14:textId="18B30686" w:rsidR="0059205E" w:rsidRPr="007521A3" w:rsidRDefault="0059205E" w:rsidP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56752B" w14:paraId="5DAD903B" w14:textId="77777777" w:rsidTr="0059205E">
        <w:tc>
          <w:tcPr>
            <w:tcW w:w="1170" w:type="dxa"/>
          </w:tcPr>
          <w:p w14:paraId="26D80958" w14:textId="7ED19B6C" w:rsidR="0056752B" w:rsidRPr="007521A3" w:rsidRDefault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1</w:t>
            </w:r>
          </w:p>
        </w:tc>
        <w:tc>
          <w:tcPr>
            <w:tcW w:w="3147" w:type="dxa"/>
          </w:tcPr>
          <w:p w14:paraId="48EB3BA0" w14:textId="45A1BF4A" w:rsidR="0056752B" w:rsidRPr="007521A3" w:rsidRDefault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TOTAL ORGANIC CARBON MONITOR</w:t>
            </w:r>
          </w:p>
        </w:tc>
        <w:tc>
          <w:tcPr>
            <w:tcW w:w="6926" w:type="dxa"/>
          </w:tcPr>
          <w:p w14:paraId="4C062A5B" w14:textId="77777777" w:rsidR="0056752B" w:rsidRPr="007521A3" w:rsidRDefault="00A47A85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7521A3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71002F03" w14:textId="77777777" w:rsidR="00A47A85" w:rsidRPr="007521A3" w:rsidRDefault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 xml:space="preserve">suitable for the measurement </w:t>
            </w:r>
            <w:proofErr w:type="spellStart"/>
            <w:r w:rsidRPr="007521A3">
              <w:rPr>
                <w:rFonts w:ascii="Verdana" w:hAnsi="Verdana"/>
              </w:rPr>
              <w:t>ot</w:t>
            </w:r>
            <w:proofErr w:type="spellEnd"/>
            <w:r w:rsidRPr="007521A3">
              <w:rPr>
                <w:rFonts w:ascii="Verdana" w:hAnsi="Verdana"/>
              </w:rPr>
              <w:t xml:space="preserve"> total organic carbons in Purified Water (PW), Water </w:t>
            </w:r>
            <w:proofErr w:type="gramStart"/>
            <w:r w:rsidRPr="007521A3">
              <w:rPr>
                <w:rFonts w:ascii="Verdana" w:hAnsi="Verdana"/>
              </w:rPr>
              <w:t>For</w:t>
            </w:r>
            <w:proofErr w:type="gramEnd"/>
            <w:r w:rsidRPr="007521A3">
              <w:rPr>
                <w:rFonts w:ascii="Verdana" w:hAnsi="Verdana"/>
              </w:rPr>
              <w:t xml:space="preserve"> Injection (WFI) and Highly Purified Water (HPW).</w:t>
            </w:r>
          </w:p>
          <w:p w14:paraId="71A93AA5" w14:textId="77777777" w:rsidR="00A47A85" w:rsidRPr="007521A3" w:rsidRDefault="00A47A85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7521A3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242994E3" w14:textId="77777777" w:rsidR="00A47A85" w:rsidRPr="00A47A85" w:rsidRDefault="00A47A85" w:rsidP="00A47A85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47A85">
              <w:rPr>
                <w:rFonts w:ascii="Verdana" w:hAnsi="Verdana"/>
              </w:rPr>
              <w:t xml:space="preserve">UV-Oxidation and conductivity determination: This method eliminates the need for reagents and carrier gases. It delivers an accurate measurement at low concentrations, like for instance in WFI (Water </w:t>
            </w:r>
            <w:proofErr w:type="gramStart"/>
            <w:r w:rsidRPr="00A47A85">
              <w:rPr>
                <w:rFonts w:ascii="Verdana" w:hAnsi="Verdana"/>
              </w:rPr>
              <w:t>For</w:t>
            </w:r>
            <w:proofErr w:type="gramEnd"/>
            <w:r w:rsidRPr="00A47A85">
              <w:rPr>
                <w:rFonts w:ascii="Verdana" w:hAnsi="Verdana"/>
              </w:rPr>
              <w:t xml:space="preserve"> Injection) areas and reduces the cost of operation at the same time.</w:t>
            </w:r>
          </w:p>
          <w:p w14:paraId="6A418109" w14:textId="77777777" w:rsidR="00A47A85" w:rsidRPr="00A47A85" w:rsidRDefault="00A47A85" w:rsidP="00A47A85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47A85">
              <w:rPr>
                <w:rFonts w:ascii="Verdana" w:hAnsi="Verdana"/>
              </w:rPr>
              <w:t>“</w:t>
            </w:r>
            <w:proofErr w:type="spellStart"/>
            <w:proofErr w:type="gramStart"/>
            <w:r w:rsidRPr="00A47A85">
              <w:rPr>
                <w:rFonts w:ascii="Verdana" w:hAnsi="Verdana"/>
              </w:rPr>
              <w:t>Debubbler</w:t>
            </w:r>
            <w:proofErr w:type="spellEnd"/>
            <w:r w:rsidRPr="00A47A85">
              <w:rPr>
                <w:rFonts w:ascii="Verdana" w:hAnsi="Verdana"/>
              </w:rPr>
              <w:t>“ embedded</w:t>
            </w:r>
            <w:proofErr w:type="gramEnd"/>
            <w:r w:rsidRPr="00A47A85">
              <w:rPr>
                <w:rFonts w:ascii="Verdana" w:hAnsi="Verdana"/>
              </w:rPr>
              <w:t>: Bubbles in production systems often cause unstable readings in many instruments. The embedded “</w:t>
            </w:r>
            <w:proofErr w:type="spellStart"/>
            <w:proofErr w:type="gramStart"/>
            <w:r w:rsidRPr="00A47A85">
              <w:rPr>
                <w:rFonts w:ascii="Verdana" w:hAnsi="Verdana"/>
              </w:rPr>
              <w:t>Debubbler</w:t>
            </w:r>
            <w:proofErr w:type="spellEnd"/>
            <w:r w:rsidRPr="00A47A85">
              <w:rPr>
                <w:rFonts w:ascii="Verdana" w:hAnsi="Verdana"/>
              </w:rPr>
              <w:t>“ eliminates</w:t>
            </w:r>
            <w:proofErr w:type="gramEnd"/>
            <w:r w:rsidRPr="00A47A85">
              <w:rPr>
                <w:rFonts w:ascii="Verdana" w:hAnsi="Verdana"/>
              </w:rPr>
              <w:t xml:space="preserve"> the influence of air and guarantees a stable measurement.</w:t>
            </w:r>
          </w:p>
          <w:p w14:paraId="6E00156D" w14:textId="77777777" w:rsidR="00A47A85" w:rsidRPr="00A47A85" w:rsidRDefault="00A47A85" w:rsidP="00A47A85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47A85">
              <w:rPr>
                <w:rFonts w:ascii="Verdana" w:hAnsi="Verdana"/>
              </w:rPr>
              <w:t>Optional external ON/OFF control of contact input terminals.</w:t>
            </w:r>
          </w:p>
          <w:p w14:paraId="1442EAAA" w14:textId="77777777" w:rsidR="00A47A85" w:rsidRPr="00A47A85" w:rsidRDefault="00A47A85" w:rsidP="00A47A85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47A85">
              <w:rPr>
                <w:rFonts w:ascii="Verdana" w:hAnsi="Verdana"/>
              </w:rPr>
              <w:t xml:space="preserve">Maintenance cycle: “ONLY ONCE PER </w:t>
            </w:r>
            <w:proofErr w:type="gramStart"/>
            <w:r w:rsidRPr="00A47A85">
              <w:rPr>
                <w:rFonts w:ascii="Verdana" w:hAnsi="Verdana"/>
              </w:rPr>
              <w:t>YEAR“</w:t>
            </w:r>
            <w:proofErr w:type="gramEnd"/>
            <w:r w:rsidRPr="00A47A85">
              <w:rPr>
                <w:rFonts w:ascii="Verdana" w:hAnsi="Verdana"/>
              </w:rPr>
              <w:t>: Maintenance only consists of annual UV-lamp exchange and annual calibration.</w:t>
            </w:r>
          </w:p>
          <w:p w14:paraId="66313D2B" w14:textId="77777777" w:rsidR="00A47A85" w:rsidRPr="00A47A85" w:rsidRDefault="00A47A85" w:rsidP="00A47A85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47A85">
              <w:rPr>
                <w:rFonts w:ascii="Verdana" w:hAnsi="Verdana"/>
              </w:rPr>
              <w:t>Conforms to: United States Pharmacopeia: USP &lt;643&gt;.</w:t>
            </w:r>
          </w:p>
          <w:p w14:paraId="0A048A6B" w14:textId="77777777" w:rsidR="00A47A85" w:rsidRPr="00A47A85" w:rsidRDefault="00A47A85" w:rsidP="00A47A85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47A85">
              <w:rPr>
                <w:rFonts w:ascii="Verdana" w:hAnsi="Verdana"/>
              </w:rPr>
              <w:t>Reference solutions for System Suitability Test (SST): 1,4 Benzoquinone and Sucrose</w:t>
            </w:r>
          </w:p>
          <w:p w14:paraId="6B3EDEA5" w14:textId="77777777" w:rsidR="00A47A85" w:rsidRPr="00A47A85" w:rsidRDefault="00A47A85" w:rsidP="00A47A85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47A85">
              <w:rPr>
                <w:rFonts w:ascii="Verdana" w:hAnsi="Verdana"/>
              </w:rPr>
              <w:t>Choice of 3 installation methods: Possible to install on a pole, wall or desktop.</w:t>
            </w:r>
          </w:p>
          <w:p w14:paraId="470677A8" w14:textId="77777777" w:rsidR="00A47A85" w:rsidRPr="00B94A64" w:rsidRDefault="00A47A85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B94A64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74690FC2" w14:textId="45235016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bCs/>
              </w:rPr>
              <w:t>Measurement method</w:t>
            </w:r>
            <w:r w:rsidRPr="007521A3">
              <w:rPr>
                <w:rFonts w:ascii="Verdana" w:hAnsi="Verdana"/>
              </w:rPr>
              <w:t xml:space="preserve">: </w:t>
            </w:r>
            <w:r w:rsidRPr="007521A3">
              <w:rPr>
                <w:rFonts w:ascii="Verdana" w:hAnsi="Verdana"/>
              </w:rPr>
              <w:t>Continuous UV oxidation conductivity method</w:t>
            </w:r>
          </w:p>
          <w:p w14:paraId="7D8E721F" w14:textId="6A73C60B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bCs/>
              </w:rPr>
              <w:t>Measurement limit</w:t>
            </w:r>
            <w:r w:rsidRPr="007521A3">
              <w:rPr>
                <w:rFonts w:ascii="Verdana" w:hAnsi="Verdana"/>
              </w:rPr>
              <w:t xml:space="preserve">: </w:t>
            </w:r>
            <w:r w:rsidRPr="007521A3">
              <w:rPr>
                <w:rFonts w:ascii="Verdana" w:hAnsi="Verdana"/>
              </w:rPr>
              <w:t>0 ppb to 1000 ppb</w:t>
            </w:r>
          </w:p>
          <w:p w14:paraId="5CBCF7C9" w14:textId="5CCB499A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bCs/>
              </w:rPr>
              <w:t>Measurement range</w:t>
            </w:r>
            <w:r w:rsidRPr="007521A3">
              <w:rPr>
                <w:rFonts w:ascii="Verdana" w:hAnsi="Verdana"/>
                <w:b/>
                <w:bCs/>
              </w:rPr>
              <w:t>:</w:t>
            </w:r>
            <w:r w:rsidRPr="007521A3">
              <w:rPr>
                <w:rFonts w:ascii="Verdana" w:hAnsi="Verdana"/>
              </w:rPr>
              <w:t xml:space="preserve"> </w:t>
            </w:r>
            <w:r w:rsidRPr="007521A3">
              <w:rPr>
                <w:rFonts w:ascii="Verdana" w:hAnsi="Verdana"/>
              </w:rPr>
              <w:t>0 ppb to 100/500/1000 ppb</w:t>
            </w:r>
          </w:p>
          <w:p w14:paraId="587AC2D8" w14:textId="11B1ABB0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bCs/>
              </w:rPr>
              <w:lastRenderedPageBreak/>
              <w:t>Repeatability</w:t>
            </w:r>
            <w:r w:rsidRPr="007521A3">
              <w:rPr>
                <w:rFonts w:ascii="Verdana" w:hAnsi="Verdana"/>
              </w:rPr>
              <w:t xml:space="preserve">: </w:t>
            </w:r>
            <w:r w:rsidRPr="007521A3">
              <w:rPr>
                <w:rFonts w:ascii="Verdana" w:hAnsi="Verdana"/>
              </w:rPr>
              <w:t>Within ±2% of full scale</w:t>
            </w:r>
          </w:p>
          <w:p w14:paraId="7891B6BA" w14:textId="0E13AD60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bCs/>
              </w:rPr>
              <w:t>Display resolution</w:t>
            </w:r>
            <w:r w:rsidRPr="007521A3">
              <w:rPr>
                <w:rFonts w:ascii="Verdana" w:hAnsi="Verdana"/>
                <w:b/>
                <w:bCs/>
              </w:rPr>
              <w:t>:</w:t>
            </w:r>
            <w:r w:rsidRPr="007521A3">
              <w:rPr>
                <w:rFonts w:ascii="Verdana" w:hAnsi="Verdana"/>
              </w:rPr>
              <w:t xml:space="preserve"> </w:t>
            </w:r>
            <w:r w:rsidRPr="007521A3">
              <w:rPr>
                <w:rFonts w:ascii="Verdana" w:hAnsi="Verdana"/>
              </w:rPr>
              <w:t>0.1 ppb (0 ppb to 100 ppb/0 ppb to 500 ppb range)</w:t>
            </w:r>
          </w:p>
          <w:p w14:paraId="091BEABF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1 ppb (0 ppb to 1000 ppb range)</w:t>
            </w:r>
          </w:p>
          <w:p w14:paraId="0F094787" w14:textId="7820D933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  <w:b/>
                <w:bCs/>
              </w:rPr>
              <w:t>Transmission output</w:t>
            </w:r>
            <w:r w:rsidRPr="007521A3">
              <w:rPr>
                <w:rFonts w:ascii="Verdana" w:hAnsi="Verdana"/>
              </w:rPr>
              <w:t xml:space="preserve">: </w:t>
            </w:r>
            <w:r w:rsidRPr="007521A3">
              <w:rPr>
                <w:rFonts w:ascii="Verdana" w:hAnsi="Verdana"/>
              </w:rPr>
              <w:t>Number of output point: one</w:t>
            </w:r>
          </w:p>
          <w:p w14:paraId="7209CAF9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4 mA to 20 mA DC/0 V to 1 V DC (optional) insulated input/output</w:t>
            </w:r>
          </w:p>
          <w:p w14:paraId="073986F8" w14:textId="44FB8979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 xml:space="preserve">Maximum load resistance: 600 Ω (minimum load resistance 100 </w:t>
            </w:r>
            <w:proofErr w:type="spellStart"/>
            <w:r w:rsidRPr="007521A3">
              <w:rPr>
                <w:rFonts w:ascii="Verdana" w:hAnsi="Verdana"/>
              </w:rPr>
              <w:t>kΩ</w:t>
            </w:r>
            <w:proofErr w:type="spellEnd"/>
            <w:r w:rsidRPr="007521A3">
              <w:rPr>
                <w:rFonts w:ascii="Verdana" w:hAnsi="Verdana"/>
              </w:rPr>
              <w:t xml:space="preserve"> (when optionally selected)</w:t>
            </w:r>
          </w:p>
          <w:p w14:paraId="6EBFC7E6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Transmission output range: optional setting possible within measurement range</w:t>
            </w:r>
          </w:p>
          <w:p w14:paraId="219A5792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Output target: TOC concentration</w:t>
            </w:r>
          </w:p>
          <w:p w14:paraId="434084F0" w14:textId="77777777" w:rsidR="00A47A85" w:rsidRPr="007521A3" w:rsidRDefault="00A47A85" w:rsidP="00A47A85">
            <w:pPr>
              <w:rPr>
                <w:rFonts w:ascii="Verdana" w:hAnsi="Verdana"/>
                <w:b/>
                <w:bCs/>
              </w:rPr>
            </w:pPr>
            <w:r w:rsidRPr="007521A3">
              <w:rPr>
                <w:rFonts w:ascii="Verdana" w:hAnsi="Verdana"/>
                <w:b/>
                <w:bCs/>
              </w:rPr>
              <w:t>Sample water condition</w:t>
            </w:r>
          </w:p>
          <w:p w14:paraId="4380651D" w14:textId="43D45152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 xml:space="preserve">Conductivity: less than 10 </w:t>
            </w:r>
            <w:proofErr w:type="spellStart"/>
            <w:r w:rsidRPr="007521A3">
              <w:rPr>
                <w:rFonts w:ascii="Verdana" w:hAnsi="Verdana"/>
              </w:rPr>
              <w:t>μS</w:t>
            </w:r>
            <w:proofErr w:type="spellEnd"/>
            <w:r w:rsidRPr="007521A3">
              <w:rPr>
                <w:rFonts w:ascii="Verdana" w:hAnsi="Verdana"/>
              </w:rPr>
              <w:t xml:space="preserve">/cm (less than 2 </w:t>
            </w:r>
            <w:proofErr w:type="spellStart"/>
            <w:r w:rsidRPr="007521A3">
              <w:rPr>
                <w:rFonts w:ascii="Verdana" w:hAnsi="Verdana"/>
              </w:rPr>
              <w:t>μS</w:t>
            </w:r>
            <w:proofErr w:type="spellEnd"/>
            <w:r w:rsidRPr="007521A3">
              <w:rPr>
                <w:rFonts w:ascii="Verdana" w:hAnsi="Verdana"/>
              </w:rPr>
              <w:t>/cm in 0 ppb to 100 ppb range)</w:t>
            </w:r>
          </w:p>
          <w:p w14:paraId="2FB3F223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Temperature: 5</w:t>
            </w:r>
            <w:r w:rsidRPr="007521A3">
              <w:rPr>
                <w:rFonts w:ascii="Cambria Math" w:hAnsi="Cambria Math" w:cs="Cambria Math"/>
              </w:rPr>
              <w:t>℃</w:t>
            </w:r>
            <w:r w:rsidRPr="007521A3">
              <w:rPr>
                <w:rFonts w:ascii="Verdana" w:hAnsi="Verdana"/>
              </w:rPr>
              <w:t xml:space="preserve"> to 99</w:t>
            </w:r>
            <w:r w:rsidRPr="007521A3">
              <w:rPr>
                <w:rFonts w:ascii="Cambria Math" w:hAnsi="Cambria Math" w:cs="Cambria Math"/>
              </w:rPr>
              <w:t>℃</w:t>
            </w:r>
          </w:p>
          <w:p w14:paraId="255CF212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Pressure: 0.03 MPa to 0.50 MPa,</w:t>
            </w:r>
          </w:p>
          <w:p w14:paraId="79BF6FB5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Pressure fluctuation: within ±0.05 MPa (within the specified pressure range)</w:t>
            </w:r>
          </w:p>
          <w:p w14:paraId="7E975CFF" w14:textId="77777777" w:rsidR="00A47A85" w:rsidRPr="007521A3" w:rsidRDefault="00A47A85" w:rsidP="00A47A85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Flow rate: 20 mL/min to 200 mL/min</w:t>
            </w:r>
          </w:p>
          <w:p w14:paraId="628CA93B" w14:textId="77777777" w:rsidR="007521A3" w:rsidRPr="007521A3" w:rsidRDefault="007521A3" w:rsidP="007521A3">
            <w:pPr>
              <w:rPr>
                <w:rFonts w:ascii="Verdana" w:hAnsi="Verdana"/>
                <w:b/>
                <w:bCs/>
              </w:rPr>
            </w:pPr>
            <w:r w:rsidRPr="007521A3">
              <w:rPr>
                <w:rFonts w:ascii="Verdana" w:hAnsi="Verdana"/>
                <w:b/>
                <w:bCs/>
              </w:rPr>
              <w:t>Environmental conditions</w:t>
            </w:r>
          </w:p>
          <w:p w14:paraId="79008F5D" w14:textId="60BA34E9" w:rsidR="007521A3" w:rsidRPr="007521A3" w:rsidRDefault="007521A3" w:rsidP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Temperature: 5</w:t>
            </w:r>
            <w:r w:rsidRPr="007521A3">
              <w:rPr>
                <w:rFonts w:ascii="Cambria Math" w:hAnsi="Cambria Math" w:cs="Cambria Math"/>
              </w:rPr>
              <w:t>℃</w:t>
            </w:r>
            <w:r w:rsidRPr="007521A3">
              <w:rPr>
                <w:rFonts w:ascii="Verdana" w:hAnsi="Verdana"/>
              </w:rPr>
              <w:t xml:space="preserve"> to 40</w:t>
            </w:r>
            <w:r w:rsidRPr="007521A3">
              <w:rPr>
                <w:rFonts w:ascii="Cambria Math" w:hAnsi="Cambria Math" w:cs="Cambria Math"/>
              </w:rPr>
              <w:t>℃</w:t>
            </w:r>
          </w:p>
          <w:p w14:paraId="7DEC8523" w14:textId="77777777" w:rsidR="007521A3" w:rsidRPr="007521A3" w:rsidRDefault="007521A3" w:rsidP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Relative humidity: less than 85%</w:t>
            </w:r>
          </w:p>
          <w:p w14:paraId="7F0FE682" w14:textId="77777777" w:rsidR="007521A3" w:rsidRPr="007521A3" w:rsidRDefault="007521A3" w:rsidP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Display function</w:t>
            </w:r>
            <w:r w:rsidRPr="007521A3">
              <w:rPr>
                <w:rFonts w:ascii="Verdana" w:hAnsi="Verdana"/>
              </w:rPr>
              <w:tab/>
              <w:t>LCD (with a back light) TOC, conductivity, water temperature, alarm</w:t>
            </w:r>
          </w:p>
          <w:p w14:paraId="200B02FD" w14:textId="77777777" w:rsidR="007521A3" w:rsidRPr="007521A3" w:rsidRDefault="007521A3" w:rsidP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Power</w:t>
            </w:r>
            <w:r w:rsidRPr="007521A3">
              <w:rPr>
                <w:rFonts w:ascii="Verdana" w:hAnsi="Verdana"/>
              </w:rPr>
              <w:tab/>
              <w:t>100 V to 240 V AC ±10%, 50 Hz/60 Hz built-in fuse 250 V AC 3.15 A (T)</w:t>
            </w:r>
          </w:p>
          <w:p w14:paraId="617E5DD4" w14:textId="4224099C" w:rsidR="007521A3" w:rsidRPr="007521A3" w:rsidRDefault="007521A3" w:rsidP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Power consumption</w:t>
            </w:r>
            <w:r w:rsidRPr="007521A3">
              <w:rPr>
                <w:rFonts w:ascii="Verdana" w:hAnsi="Verdana"/>
              </w:rPr>
              <w:t xml:space="preserve">: </w:t>
            </w:r>
            <w:r w:rsidRPr="007521A3">
              <w:rPr>
                <w:rFonts w:ascii="Verdana" w:hAnsi="Verdana"/>
              </w:rPr>
              <w:t>80 VA (max.)</w:t>
            </w:r>
          </w:p>
          <w:p w14:paraId="47E27784" w14:textId="65DB7472" w:rsidR="007521A3" w:rsidRPr="007521A3" w:rsidRDefault="007521A3" w:rsidP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Outside dimension</w:t>
            </w:r>
            <w:r w:rsidRPr="007521A3">
              <w:rPr>
                <w:rFonts w:ascii="Verdana" w:hAnsi="Verdana"/>
              </w:rPr>
              <w:t xml:space="preserve">: </w:t>
            </w:r>
            <w:r w:rsidRPr="007521A3">
              <w:rPr>
                <w:rFonts w:ascii="Verdana" w:hAnsi="Verdana"/>
              </w:rPr>
              <w:t>300 (W) × 400 (H) × 165 (D) mm</w:t>
            </w:r>
          </w:p>
          <w:p w14:paraId="53127CCA" w14:textId="77777777" w:rsidR="007521A3" w:rsidRPr="007521A3" w:rsidRDefault="007521A3" w:rsidP="007521A3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Mass</w:t>
            </w:r>
            <w:r w:rsidRPr="007521A3">
              <w:rPr>
                <w:rFonts w:ascii="Verdana" w:hAnsi="Verdana"/>
              </w:rPr>
              <w:t xml:space="preserve">: </w:t>
            </w:r>
            <w:r w:rsidRPr="007521A3">
              <w:rPr>
                <w:rFonts w:ascii="Verdana" w:hAnsi="Verdana"/>
              </w:rPr>
              <w:t>13 kg</w:t>
            </w:r>
          </w:p>
          <w:p w14:paraId="353F995F" w14:textId="77777777" w:rsidR="007521A3" w:rsidRPr="007521A3" w:rsidRDefault="007521A3" w:rsidP="007521A3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7521A3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63EBB491" w14:textId="77777777" w:rsidR="007521A3" w:rsidRPr="007521A3" w:rsidRDefault="007521A3" w:rsidP="007521A3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7521A3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6E85B0E" w14:textId="77777777" w:rsidR="007521A3" w:rsidRPr="007521A3" w:rsidRDefault="007521A3" w:rsidP="007521A3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7521A3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035B4DFC" w14:textId="5B3FBAA6" w:rsidR="007521A3" w:rsidRPr="007521A3" w:rsidRDefault="007521A3" w:rsidP="007521A3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7521A3">
              <w:rPr>
                <w:rFonts w:ascii="Verdana" w:eastAsia="Times New Roman" w:hAnsi="Verdana" w:cs="Times New Roman"/>
              </w:rPr>
              <w:lastRenderedPageBreak/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60CB5C64" w14:textId="0FDF9989" w:rsidR="0056752B" w:rsidRPr="007521A3" w:rsidRDefault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530" w:type="dxa"/>
          </w:tcPr>
          <w:p w14:paraId="74A449BB" w14:textId="1011E5D4" w:rsidR="0056752B" w:rsidRPr="007521A3" w:rsidRDefault="0059205E">
            <w:pPr>
              <w:rPr>
                <w:rFonts w:ascii="Verdana" w:hAnsi="Verdana"/>
              </w:rPr>
            </w:pPr>
            <w:r w:rsidRPr="007521A3">
              <w:rPr>
                <w:rFonts w:ascii="Verdana" w:hAnsi="Verdana"/>
              </w:rPr>
              <w:t>1</w:t>
            </w:r>
          </w:p>
        </w:tc>
      </w:tr>
    </w:tbl>
    <w:p w14:paraId="338B5A04" w14:textId="77777777" w:rsidR="0056752B" w:rsidRDefault="0056752B"/>
    <w:sectPr w:rsidR="0056752B" w:rsidSect="005675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4BC7"/>
    <w:multiLevelType w:val="multilevel"/>
    <w:tmpl w:val="A59E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0182104">
    <w:abstractNumId w:val="0"/>
  </w:num>
  <w:num w:numId="2" w16cid:durableId="122043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2B"/>
    <w:rsid w:val="0056752B"/>
    <w:rsid w:val="0059205E"/>
    <w:rsid w:val="007521A3"/>
    <w:rsid w:val="00A47A85"/>
    <w:rsid w:val="00B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D10FD"/>
  <w15:chartTrackingRefBased/>
  <w15:docId w15:val="{86F72E66-C4BD-425C-9A12-805BB3E5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2022-08-24T21:38:00Z</dcterms:created>
  <dcterms:modified xsi:type="dcterms:W3CDTF">2022-08-24T22:17:00Z</dcterms:modified>
</cp:coreProperties>
</file>