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70" w:type="dxa"/>
        <w:tblInd w:w="-923" w:type="dxa"/>
        <w:tblLook w:val="04A0" w:firstRow="1" w:lastRow="0" w:firstColumn="1" w:lastColumn="0" w:noHBand="0" w:noVBand="1"/>
      </w:tblPr>
      <w:tblGrid>
        <w:gridCol w:w="900"/>
        <w:gridCol w:w="2250"/>
        <w:gridCol w:w="7937"/>
        <w:gridCol w:w="1897"/>
        <w:gridCol w:w="1686"/>
      </w:tblGrid>
      <w:tr w:rsidR="005D6F0A" w:rsidRPr="00FD366B" w14:paraId="6B60E2D9" w14:textId="77777777" w:rsidTr="00FD366B">
        <w:tc>
          <w:tcPr>
            <w:tcW w:w="900" w:type="dxa"/>
            <w:tcBorders>
              <w:top w:val="double" w:sz="6" w:space="0" w:color="auto"/>
              <w:left w:val="double" w:sz="6" w:space="0" w:color="auto"/>
              <w:right w:val="single" w:sz="4" w:space="0" w:color="auto"/>
            </w:tcBorders>
            <w:shd w:val="clear" w:color="auto" w:fill="E7E6E6"/>
            <w:vAlign w:val="center"/>
          </w:tcPr>
          <w:p w14:paraId="335713C1" w14:textId="51C046E8" w:rsidR="005D6F0A" w:rsidRPr="00FD366B" w:rsidRDefault="005D6F0A" w:rsidP="005D6F0A">
            <w:pPr>
              <w:rPr>
                <w:rFonts w:ascii="Verdana" w:hAnsi="Verdana"/>
              </w:rPr>
            </w:pPr>
            <w:r w:rsidRPr="00FD366B">
              <w:rPr>
                <w:rFonts w:ascii="Verdana" w:hAnsi="Verdana"/>
                <w:b/>
                <w:iCs/>
                <w:color w:val="000000"/>
                <w:lang w:val="en-GB" w:eastAsia="en-GB"/>
              </w:rPr>
              <w:t>Item No.</w:t>
            </w:r>
          </w:p>
        </w:tc>
        <w:tc>
          <w:tcPr>
            <w:tcW w:w="2250" w:type="dxa"/>
            <w:tcBorders>
              <w:top w:val="double" w:sz="6" w:space="0" w:color="auto"/>
              <w:left w:val="single" w:sz="4" w:space="0" w:color="auto"/>
              <w:right w:val="single" w:sz="4" w:space="0" w:color="auto"/>
            </w:tcBorders>
            <w:shd w:val="clear" w:color="auto" w:fill="E7E6E6"/>
            <w:vAlign w:val="center"/>
          </w:tcPr>
          <w:p w14:paraId="2E9DA6A9" w14:textId="586D1449" w:rsidR="005D6F0A" w:rsidRPr="00FD366B" w:rsidRDefault="005D6F0A" w:rsidP="005D6F0A">
            <w:pPr>
              <w:rPr>
                <w:rFonts w:ascii="Verdana" w:hAnsi="Verdana"/>
              </w:rPr>
            </w:pPr>
            <w:r w:rsidRPr="00FD366B">
              <w:rPr>
                <w:rFonts w:ascii="Verdana" w:hAnsi="Verdana"/>
                <w:b/>
                <w:iCs/>
                <w:color w:val="000000"/>
                <w:lang w:val="en-GB" w:eastAsia="en-GB"/>
              </w:rPr>
              <w:t>Item Name</w:t>
            </w:r>
          </w:p>
        </w:tc>
        <w:tc>
          <w:tcPr>
            <w:tcW w:w="7937" w:type="dxa"/>
            <w:tcBorders>
              <w:top w:val="double" w:sz="6" w:space="0" w:color="auto"/>
              <w:left w:val="single" w:sz="4" w:space="0" w:color="auto"/>
              <w:right w:val="single" w:sz="4" w:space="0" w:color="auto"/>
            </w:tcBorders>
            <w:shd w:val="clear" w:color="auto" w:fill="E7E6E6"/>
            <w:vAlign w:val="center"/>
          </w:tcPr>
          <w:p w14:paraId="710F692C" w14:textId="6BB024D6" w:rsidR="005D6F0A" w:rsidRPr="00FD366B" w:rsidRDefault="005D6F0A" w:rsidP="005D6F0A">
            <w:pPr>
              <w:rPr>
                <w:rFonts w:ascii="Verdana" w:hAnsi="Verdana"/>
              </w:rPr>
            </w:pPr>
            <w:r w:rsidRPr="00FD366B">
              <w:rPr>
                <w:rFonts w:ascii="Verdana" w:hAnsi="Verdana"/>
                <w:b/>
                <w:iCs/>
                <w:color w:val="000000"/>
                <w:lang w:val="en-GB" w:eastAsia="en-GB"/>
              </w:rPr>
              <w:t>Technical Specifications</w:t>
            </w:r>
          </w:p>
        </w:tc>
        <w:tc>
          <w:tcPr>
            <w:tcW w:w="1897" w:type="dxa"/>
            <w:tcBorders>
              <w:top w:val="double" w:sz="6" w:space="0" w:color="auto"/>
              <w:left w:val="single" w:sz="4" w:space="0" w:color="auto"/>
              <w:bottom w:val="single" w:sz="4" w:space="0" w:color="auto"/>
              <w:right w:val="single" w:sz="4" w:space="0" w:color="auto"/>
            </w:tcBorders>
            <w:shd w:val="clear" w:color="auto" w:fill="E7E6E6"/>
            <w:vAlign w:val="center"/>
          </w:tcPr>
          <w:p w14:paraId="5F820A4B" w14:textId="77777777" w:rsidR="005D6F0A" w:rsidRPr="00FD366B" w:rsidRDefault="005D6F0A" w:rsidP="005D6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iCs/>
                <w:color w:val="000000"/>
                <w:lang w:val="en-GB" w:eastAsia="en-GB"/>
              </w:rPr>
            </w:pPr>
            <w:r w:rsidRPr="00FD366B">
              <w:rPr>
                <w:rFonts w:ascii="Verdana" w:hAnsi="Verdana"/>
                <w:b/>
                <w:iCs/>
                <w:color w:val="000000"/>
                <w:lang w:val="en-GB" w:eastAsia="en-GB"/>
              </w:rPr>
              <w:t xml:space="preserve">Unit of </w:t>
            </w:r>
          </w:p>
          <w:p w14:paraId="7742BDA2" w14:textId="1AD1D676" w:rsidR="005D6F0A" w:rsidRPr="00FD366B" w:rsidRDefault="005D6F0A" w:rsidP="005D6F0A">
            <w:pPr>
              <w:rPr>
                <w:rFonts w:ascii="Verdana" w:hAnsi="Verdana"/>
              </w:rPr>
            </w:pPr>
            <w:r w:rsidRPr="00FD366B">
              <w:rPr>
                <w:rFonts w:ascii="Verdana" w:hAnsi="Verdana"/>
                <w:b/>
                <w:iCs/>
                <w:color w:val="000000"/>
                <w:lang w:val="en-GB" w:eastAsia="en-GB"/>
              </w:rPr>
              <w:t>Measurement</w:t>
            </w:r>
          </w:p>
        </w:tc>
        <w:tc>
          <w:tcPr>
            <w:tcW w:w="1686" w:type="dxa"/>
            <w:tcBorders>
              <w:top w:val="double" w:sz="6" w:space="0" w:color="auto"/>
              <w:left w:val="single" w:sz="4" w:space="0" w:color="auto"/>
              <w:bottom w:val="single" w:sz="4" w:space="0" w:color="auto"/>
              <w:right w:val="double" w:sz="6" w:space="0" w:color="auto"/>
            </w:tcBorders>
            <w:shd w:val="clear" w:color="auto" w:fill="E7E6E6"/>
            <w:vAlign w:val="center"/>
          </w:tcPr>
          <w:p w14:paraId="5671EB68" w14:textId="7F1D1FF7" w:rsidR="005D6F0A" w:rsidRPr="00FD366B" w:rsidRDefault="005D6F0A" w:rsidP="005D6F0A">
            <w:pPr>
              <w:rPr>
                <w:rFonts w:ascii="Verdana" w:hAnsi="Verdana"/>
              </w:rPr>
            </w:pPr>
            <w:r w:rsidRPr="00FD366B">
              <w:rPr>
                <w:rFonts w:ascii="Verdana" w:hAnsi="Verdana"/>
                <w:b/>
                <w:iCs/>
                <w:color w:val="000000"/>
                <w:lang w:val="en-GB" w:eastAsia="en-GB"/>
              </w:rPr>
              <w:t>Quantity</w:t>
            </w:r>
          </w:p>
        </w:tc>
      </w:tr>
      <w:tr w:rsidR="005D6F0A" w:rsidRPr="00FD366B" w14:paraId="2FF25FAE" w14:textId="77777777" w:rsidTr="00FD366B">
        <w:tc>
          <w:tcPr>
            <w:tcW w:w="900" w:type="dxa"/>
          </w:tcPr>
          <w:p w14:paraId="7EEB9883" w14:textId="4B05B8FB" w:rsidR="005D6F0A" w:rsidRPr="00FD366B" w:rsidRDefault="005D6F0A">
            <w:pPr>
              <w:rPr>
                <w:rFonts w:ascii="Verdana" w:hAnsi="Verdana"/>
              </w:rPr>
            </w:pPr>
            <w:r w:rsidRPr="00FD366B">
              <w:rPr>
                <w:rFonts w:ascii="Verdana" w:hAnsi="Verdana"/>
              </w:rPr>
              <w:t>1</w:t>
            </w:r>
          </w:p>
        </w:tc>
        <w:tc>
          <w:tcPr>
            <w:tcW w:w="2250" w:type="dxa"/>
          </w:tcPr>
          <w:p w14:paraId="2F46D932" w14:textId="3CF6D2DC" w:rsidR="005D6F0A" w:rsidRPr="00FD366B" w:rsidRDefault="00FD366B">
            <w:pPr>
              <w:rPr>
                <w:rFonts w:ascii="Verdana" w:hAnsi="Verdana"/>
              </w:rPr>
            </w:pPr>
            <w:r w:rsidRPr="00FD366B">
              <w:rPr>
                <w:rFonts w:ascii="Verdana" w:hAnsi="Verdana"/>
              </w:rPr>
              <w:t>AUTOMATIC COD MONITOR</w:t>
            </w:r>
          </w:p>
        </w:tc>
        <w:tc>
          <w:tcPr>
            <w:tcW w:w="7937" w:type="dxa"/>
          </w:tcPr>
          <w:p w14:paraId="52C1C0B7" w14:textId="77777777" w:rsidR="005D6F0A" w:rsidRPr="00FD366B" w:rsidRDefault="005D6F0A">
            <w:pPr>
              <w:rPr>
                <w:rFonts w:ascii="Verdana" w:hAnsi="Verdana"/>
                <w:b/>
                <w:bCs/>
                <w:color w:val="2E74B5" w:themeColor="accent5" w:themeShade="BF"/>
              </w:rPr>
            </w:pPr>
            <w:r w:rsidRPr="00FD366B">
              <w:rPr>
                <w:rFonts w:ascii="Verdana" w:hAnsi="Verdana"/>
                <w:b/>
                <w:bCs/>
                <w:color w:val="2E74B5" w:themeColor="accent5" w:themeShade="BF"/>
              </w:rPr>
              <w:t>Features</w:t>
            </w:r>
          </w:p>
          <w:p w14:paraId="2EFE1145" w14:textId="65289775" w:rsidR="005D6F0A" w:rsidRPr="005D6F0A" w:rsidRDefault="005D6F0A" w:rsidP="005D6F0A">
            <w:pPr>
              <w:numPr>
                <w:ilvl w:val="0"/>
                <w:numId w:val="1"/>
              </w:numPr>
              <w:rPr>
                <w:rFonts w:ascii="Verdana" w:hAnsi="Verdana"/>
              </w:rPr>
            </w:pPr>
            <w:r w:rsidRPr="005D6F0A">
              <w:rPr>
                <w:rFonts w:ascii="Verdana" w:hAnsi="Verdana"/>
                <w:b/>
                <w:bCs/>
              </w:rPr>
              <w:t>Uses only 1/10 the reagent of the existing systems</w:t>
            </w:r>
            <w:r w:rsidRPr="005D6F0A">
              <w:rPr>
                <w:rFonts w:ascii="Verdana" w:hAnsi="Verdana"/>
              </w:rPr>
              <w:br/>
              <w:t>unique dispensing and quantification device enable</w:t>
            </w:r>
            <w:r w:rsidRPr="00FD366B">
              <w:rPr>
                <w:rFonts w:ascii="Verdana" w:hAnsi="Verdana"/>
              </w:rPr>
              <w:t xml:space="preserve"> it</w:t>
            </w:r>
            <w:r w:rsidRPr="005D6F0A">
              <w:rPr>
                <w:rFonts w:ascii="Verdana" w:hAnsi="Verdana"/>
              </w:rPr>
              <w:t xml:space="preserve"> to maintain measurement accuracy while using only 1/10 the quantity of reagent required. A reagent delivery service also eliminates the need for time-consuming reagent preparation. This reduces the time and trouble involved in reagent replacement and cuts running costs in half.</w:t>
            </w:r>
          </w:p>
          <w:p w14:paraId="63E95E6E" w14:textId="77777777" w:rsidR="005D6F0A" w:rsidRPr="005D6F0A" w:rsidRDefault="005D6F0A" w:rsidP="005D6F0A">
            <w:pPr>
              <w:numPr>
                <w:ilvl w:val="0"/>
                <w:numId w:val="1"/>
              </w:numPr>
              <w:rPr>
                <w:rFonts w:ascii="Verdana" w:hAnsi="Verdana"/>
              </w:rPr>
            </w:pPr>
            <w:r w:rsidRPr="005D6F0A">
              <w:rPr>
                <w:rFonts w:ascii="Verdana" w:hAnsi="Verdana"/>
                <w:b/>
                <w:bCs/>
              </w:rPr>
              <w:t>Touch panel LCD makes operation easier</w:t>
            </w:r>
            <w:r w:rsidRPr="005D6F0A">
              <w:rPr>
                <w:rFonts w:ascii="Verdana" w:hAnsi="Verdana"/>
              </w:rPr>
              <w:br/>
              <w:t>The use of a color LCD with a touch panel makes operation intuitive, and lower power consumption reduces environmental load. These and other functions attuned to the times will enable the system to meet future water quality management needs.</w:t>
            </w:r>
          </w:p>
          <w:p w14:paraId="0AD87E0D" w14:textId="77777777" w:rsidR="005D6F0A" w:rsidRPr="005D6F0A" w:rsidRDefault="005D6F0A" w:rsidP="005D6F0A">
            <w:pPr>
              <w:numPr>
                <w:ilvl w:val="0"/>
                <w:numId w:val="1"/>
              </w:numPr>
              <w:rPr>
                <w:rFonts w:ascii="Verdana" w:hAnsi="Verdana"/>
              </w:rPr>
            </w:pPr>
            <w:r w:rsidRPr="005D6F0A">
              <w:rPr>
                <w:rFonts w:ascii="Verdana" w:hAnsi="Verdana"/>
                <w:b/>
                <w:bCs/>
              </w:rPr>
              <w:t>Cuts power consumption in half</w:t>
            </w:r>
          </w:p>
          <w:p w14:paraId="2E687544" w14:textId="77777777" w:rsidR="005D6F0A" w:rsidRPr="005D6F0A" w:rsidRDefault="005D6F0A" w:rsidP="005D6F0A">
            <w:pPr>
              <w:numPr>
                <w:ilvl w:val="0"/>
                <w:numId w:val="1"/>
              </w:numPr>
              <w:rPr>
                <w:rFonts w:ascii="Verdana" w:hAnsi="Verdana"/>
              </w:rPr>
            </w:pPr>
            <w:r w:rsidRPr="005D6F0A">
              <w:rPr>
                <w:rFonts w:ascii="Verdana" w:hAnsi="Verdana"/>
                <w:b/>
                <w:bCs/>
              </w:rPr>
              <w:t>Direct heating method requires no cooling water</w:t>
            </w:r>
          </w:p>
          <w:p w14:paraId="7867828C" w14:textId="77777777" w:rsidR="005D6F0A" w:rsidRPr="005D6F0A" w:rsidRDefault="005D6F0A" w:rsidP="005D6F0A">
            <w:pPr>
              <w:numPr>
                <w:ilvl w:val="0"/>
                <w:numId w:val="1"/>
              </w:numPr>
              <w:rPr>
                <w:rFonts w:ascii="Verdana" w:hAnsi="Verdana"/>
              </w:rPr>
            </w:pPr>
            <w:r w:rsidRPr="005D6F0A">
              <w:rPr>
                <w:rFonts w:ascii="Verdana" w:hAnsi="Verdana"/>
                <w:b/>
                <w:bCs/>
              </w:rPr>
              <w:t>Full range of interface options (RS-232C, RS-485, USB, and MODBUS</w:t>
            </w:r>
            <w:r w:rsidRPr="005D6F0A">
              <w:rPr>
                <w:rFonts w:ascii="Verdana" w:hAnsi="Verdana"/>
                <w:b/>
                <w:bCs/>
                <w:vertAlign w:val="superscript"/>
              </w:rPr>
              <w:t>®</w:t>
            </w:r>
            <w:r w:rsidRPr="005D6F0A">
              <w:rPr>
                <w:rFonts w:ascii="Verdana" w:hAnsi="Verdana"/>
                <w:b/>
                <w:bCs/>
              </w:rPr>
              <w:t>)</w:t>
            </w:r>
          </w:p>
          <w:p w14:paraId="360834B0" w14:textId="77777777" w:rsidR="005D6F0A" w:rsidRPr="005D6F0A" w:rsidRDefault="005D6F0A" w:rsidP="005D6F0A">
            <w:pPr>
              <w:numPr>
                <w:ilvl w:val="0"/>
                <w:numId w:val="1"/>
              </w:numPr>
              <w:rPr>
                <w:rFonts w:ascii="Verdana" w:hAnsi="Verdana"/>
              </w:rPr>
            </w:pPr>
            <w:r w:rsidRPr="005D6F0A">
              <w:rPr>
                <w:rFonts w:ascii="Verdana" w:hAnsi="Verdana"/>
                <w:b/>
                <w:bCs/>
              </w:rPr>
              <w:t>2 Lines for Different Types of Samples and Applications</w:t>
            </w:r>
          </w:p>
          <w:p w14:paraId="4CBA5946" w14:textId="77777777" w:rsidR="005D6F0A" w:rsidRPr="00FD366B" w:rsidRDefault="00103EAF">
            <w:pPr>
              <w:rPr>
                <w:rFonts w:ascii="Verdana" w:hAnsi="Verdana"/>
                <w:b/>
                <w:bCs/>
                <w:color w:val="2E74B5" w:themeColor="accent5" w:themeShade="BF"/>
              </w:rPr>
            </w:pPr>
            <w:r w:rsidRPr="00FD366B">
              <w:rPr>
                <w:rFonts w:ascii="Verdana" w:hAnsi="Verdana"/>
                <w:b/>
                <w:bCs/>
                <w:color w:val="2E74B5" w:themeColor="accent5" w:themeShade="BF"/>
              </w:rPr>
              <w:t>Technical specification</w:t>
            </w:r>
          </w:p>
          <w:p w14:paraId="703B7EBC" w14:textId="4AD349CA" w:rsidR="00103EAF" w:rsidRPr="00FD366B" w:rsidRDefault="00103EAF" w:rsidP="00103EAF">
            <w:pPr>
              <w:rPr>
                <w:rFonts w:ascii="Verdana" w:hAnsi="Verdana"/>
              </w:rPr>
            </w:pPr>
            <w:r w:rsidRPr="00FD366B">
              <w:rPr>
                <w:rFonts w:ascii="Verdana" w:hAnsi="Verdana"/>
              </w:rPr>
              <w:t>Object</w:t>
            </w:r>
            <w:r w:rsidRPr="00FD366B">
              <w:rPr>
                <w:rFonts w:ascii="Verdana" w:hAnsi="Verdana"/>
              </w:rPr>
              <w:t xml:space="preserve">: </w:t>
            </w:r>
            <w:r w:rsidRPr="00FD366B">
              <w:rPr>
                <w:rFonts w:ascii="Verdana" w:hAnsi="Verdana"/>
              </w:rPr>
              <w:t xml:space="preserve"> COD concentration in water</w:t>
            </w:r>
          </w:p>
          <w:p w14:paraId="3579D44E" w14:textId="137F17C1" w:rsidR="00103EAF" w:rsidRPr="00FD366B" w:rsidRDefault="00103EAF" w:rsidP="00103EAF">
            <w:pPr>
              <w:rPr>
                <w:rFonts w:ascii="Verdana" w:hAnsi="Verdana"/>
              </w:rPr>
            </w:pPr>
            <w:proofErr w:type="gramStart"/>
            <w:r w:rsidRPr="00FD366B">
              <w:rPr>
                <w:rFonts w:ascii="Verdana" w:hAnsi="Verdana"/>
              </w:rPr>
              <w:t xml:space="preserve">Dimensions </w:t>
            </w:r>
            <w:r w:rsidRPr="00FD366B">
              <w:rPr>
                <w:rFonts w:ascii="Verdana" w:hAnsi="Verdana"/>
              </w:rPr>
              <w:t>:</w:t>
            </w:r>
            <w:proofErr w:type="gramEnd"/>
            <w:r w:rsidRPr="00FD366B">
              <w:rPr>
                <w:rFonts w:ascii="Verdana" w:hAnsi="Verdana"/>
              </w:rPr>
              <w:t xml:space="preserve"> </w:t>
            </w:r>
            <w:r w:rsidRPr="00FD366B">
              <w:rPr>
                <w:rFonts w:ascii="Verdana" w:hAnsi="Verdana"/>
              </w:rPr>
              <w:t>600 (W) mm × 510 (D) mm × 1600 (H) mm*1</w:t>
            </w:r>
          </w:p>
          <w:p w14:paraId="1DD27E4B" w14:textId="73441D27" w:rsidR="00103EAF" w:rsidRPr="00FD366B" w:rsidRDefault="00103EAF" w:rsidP="00103EAF">
            <w:pPr>
              <w:rPr>
                <w:rFonts w:ascii="Verdana" w:hAnsi="Verdana"/>
              </w:rPr>
            </w:pPr>
            <w:proofErr w:type="gramStart"/>
            <w:r w:rsidRPr="00FD366B">
              <w:rPr>
                <w:rFonts w:ascii="Verdana" w:hAnsi="Verdana"/>
              </w:rPr>
              <w:t>Mass</w:t>
            </w:r>
            <w:r w:rsidRPr="00FD366B">
              <w:rPr>
                <w:rFonts w:ascii="Verdana" w:hAnsi="Verdana"/>
              </w:rPr>
              <w:t xml:space="preserve"> </w:t>
            </w:r>
            <w:r w:rsidRPr="00FD366B">
              <w:rPr>
                <w:rFonts w:ascii="Verdana" w:hAnsi="Verdana"/>
              </w:rPr>
              <w:t xml:space="preserve"> Approx.</w:t>
            </w:r>
            <w:proofErr w:type="gramEnd"/>
            <w:r w:rsidRPr="00FD366B">
              <w:rPr>
                <w:rFonts w:ascii="Verdana" w:hAnsi="Verdana"/>
              </w:rPr>
              <w:t xml:space="preserve"> 150 kg</w:t>
            </w:r>
          </w:p>
          <w:p w14:paraId="2F43C170" w14:textId="704758BF" w:rsidR="00103EAF" w:rsidRPr="00FD366B" w:rsidRDefault="00103EAF" w:rsidP="00103EAF">
            <w:pPr>
              <w:rPr>
                <w:rFonts w:ascii="Verdana" w:hAnsi="Verdana"/>
              </w:rPr>
            </w:pPr>
            <w:r w:rsidRPr="00FD366B">
              <w:rPr>
                <w:rFonts w:ascii="Verdana" w:hAnsi="Verdana"/>
              </w:rPr>
              <w:t>Power source</w:t>
            </w:r>
            <w:r w:rsidRPr="00FD366B">
              <w:rPr>
                <w:rFonts w:ascii="Verdana" w:hAnsi="Verdana"/>
              </w:rPr>
              <w:t xml:space="preserve">: </w:t>
            </w:r>
            <w:r w:rsidRPr="00FD366B">
              <w:rPr>
                <w:rFonts w:ascii="Verdana" w:hAnsi="Verdana"/>
              </w:rPr>
              <w:t xml:space="preserve"> 100 V to 240 V AC ±10%, 50 Hz/60 Hz</w:t>
            </w:r>
          </w:p>
          <w:p w14:paraId="5560B662" w14:textId="77777777" w:rsidR="00103EAF" w:rsidRPr="00FD366B" w:rsidRDefault="00103EAF" w:rsidP="00103EAF">
            <w:pPr>
              <w:rPr>
                <w:rFonts w:ascii="Verdana" w:hAnsi="Verdana"/>
              </w:rPr>
            </w:pPr>
            <w:r w:rsidRPr="00FD366B">
              <w:rPr>
                <w:rFonts w:ascii="Verdana" w:hAnsi="Verdana"/>
              </w:rPr>
              <w:t>Power consumption</w:t>
            </w:r>
            <w:r w:rsidRPr="00FD366B">
              <w:rPr>
                <w:rFonts w:ascii="Verdana" w:hAnsi="Verdana"/>
              </w:rPr>
              <w:tab/>
            </w:r>
          </w:p>
          <w:p w14:paraId="7A41BF7D" w14:textId="77777777" w:rsidR="00103EAF" w:rsidRPr="00FD366B" w:rsidRDefault="00103EAF" w:rsidP="00103EAF">
            <w:pPr>
              <w:rPr>
                <w:rFonts w:ascii="Verdana" w:hAnsi="Verdana"/>
              </w:rPr>
            </w:pPr>
            <w:r w:rsidRPr="00FD366B">
              <w:rPr>
                <w:rFonts w:ascii="Verdana" w:hAnsi="Verdana"/>
              </w:rPr>
              <w:t xml:space="preserve"> 100 V to 120 V AC: Approx. 250 VA</w:t>
            </w:r>
          </w:p>
          <w:p w14:paraId="21BE9A47" w14:textId="77777777" w:rsidR="00103EAF" w:rsidRPr="00FD366B" w:rsidRDefault="00103EAF" w:rsidP="00103EAF">
            <w:pPr>
              <w:rPr>
                <w:rFonts w:ascii="Verdana" w:hAnsi="Verdana"/>
              </w:rPr>
            </w:pPr>
            <w:r w:rsidRPr="00FD366B">
              <w:rPr>
                <w:rFonts w:ascii="Verdana" w:hAnsi="Verdana"/>
              </w:rPr>
              <w:t xml:space="preserve"> 120 V to 240 V AC: Approx. 350 VA</w:t>
            </w:r>
          </w:p>
          <w:p w14:paraId="6F743F84" w14:textId="77777777" w:rsidR="00103EAF" w:rsidRPr="00FD366B" w:rsidRDefault="00103EAF" w:rsidP="00103EAF">
            <w:pPr>
              <w:rPr>
                <w:rFonts w:ascii="Verdana" w:hAnsi="Verdana"/>
                <w:b/>
                <w:bCs/>
              </w:rPr>
            </w:pPr>
            <w:r w:rsidRPr="00FD366B">
              <w:rPr>
                <w:rFonts w:ascii="Verdana" w:hAnsi="Verdana"/>
                <w:b/>
                <w:bCs/>
              </w:rPr>
              <w:t>Performance</w:t>
            </w:r>
          </w:p>
          <w:p w14:paraId="3A0EB4A7" w14:textId="1FBCDF84" w:rsidR="00103EAF" w:rsidRPr="00FD366B" w:rsidRDefault="00103EAF" w:rsidP="00103EAF">
            <w:pPr>
              <w:rPr>
                <w:rFonts w:ascii="Verdana" w:hAnsi="Verdana"/>
              </w:rPr>
            </w:pPr>
            <w:r w:rsidRPr="00FD366B">
              <w:rPr>
                <w:rFonts w:ascii="Verdana" w:hAnsi="Verdana"/>
                <w:b/>
                <w:bCs/>
              </w:rPr>
              <w:t>Measurement range</w:t>
            </w:r>
            <w:r w:rsidRPr="00FD366B">
              <w:rPr>
                <w:rFonts w:ascii="Verdana" w:hAnsi="Verdana"/>
              </w:rPr>
              <w:t xml:space="preserve">: </w:t>
            </w:r>
            <w:r w:rsidRPr="00FD366B">
              <w:rPr>
                <w:rFonts w:ascii="Verdana" w:hAnsi="Verdana"/>
              </w:rPr>
              <w:t>0 mg/L to 20 mg/L</w:t>
            </w:r>
          </w:p>
          <w:p w14:paraId="61353BF7" w14:textId="77777777" w:rsidR="00103EAF" w:rsidRPr="00FD366B" w:rsidRDefault="00103EAF" w:rsidP="00103EAF">
            <w:pPr>
              <w:rPr>
                <w:rFonts w:ascii="Verdana" w:hAnsi="Verdana"/>
              </w:rPr>
            </w:pPr>
            <w:r w:rsidRPr="00FD366B">
              <w:rPr>
                <w:rFonts w:ascii="Verdana" w:hAnsi="Verdana"/>
              </w:rPr>
              <w:t>(Actual upper limit of measurement is half-scale of the range.)</w:t>
            </w:r>
            <w:r w:rsidRPr="00FD366B">
              <w:rPr>
                <w:rFonts w:ascii="Verdana" w:hAnsi="Verdana"/>
              </w:rPr>
              <w:tab/>
            </w:r>
          </w:p>
          <w:p w14:paraId="093EC3EA" w14:textId="77777777" w:rsidR="00103EAF" w:rsidRPr="00FD366B" w:rsidRDefault="00103EAF" w:rsidP="00103EAF">
            <w:pPr>
              <w:rPr>
                <w:rFonts w:ascii="Verdana" w:hAnsi="Verdana"/>
              </w:rPr>
            </w:pPr>
            <w:r w:rsidRPr="00FD366B">
              <w:rPr>
                <w:rFonts w:ascii="Verdana" w:hAnsi="Verdana"/>
              </w:rPr>
              <w:t>0 mg/L to 30/40/50/100/200/500/1000/2000 mg/L (1-dilution type)</w:t>
            </w:r>
          </w:p>
          <w:p w14:paraId="7B9E70EF" w14:textId="77777777" w:rsidR="00103EAF" w:rsidRPr="00FD366B" w:rsidRDefault="00103EAF" w:rsidP="00103EAF">
            <w:pPr>
              <w:rPr>
                <w:rFonts w:ascii="Verdana" w:hAnsi="Verdana"/>
                <w:b/>
                <w:bCs/>
              </w:rPr>
            </w:pPr>
            <w:r w:rsidRPr="00FD366B">
              <w:rPr>
                <w:rFonts w:ascii="Verdana" w:hAnsi="Verdana"/>
                <w:b/>
                <w:bCs/>
              </w:rPr>
              <w:t>Reproducibility (with standard</w:t>
            </w:r>
            <w:r w:rsidRPr="00FD366B">
              <w:rPr>
                <w:rFonts w:ascii="Verdana" w:hAnsi="Verdana"/>
                <w:b/>
                <w:bCs/>
              </w:rPr>
              <w:t xml:space="preserve"> </w:t>
            </w:r>
            <w:r w:rsidRPr="00FD366B">
              <w:rPr>
                <w:rFonts w:ascii="Verdana" w:hAnsi="Verdana"/>
                <w:b/>
                <w:bCs/>
              </w:rPr>
              <w:t>solution for glucose)</w:t>
            </w:r>
          </w:p>
          <w:p w14:paraId="3BE6F8B4" w14:textId="60C18880" w:rsidR="00103EAF" w:rsidRPr="00FD366B" w:rsidRDefault="00103EAF" w:rsidP="00103EAF">
            <w:pPr>
              <w:rPr>
                <w:rFonts w:ascii="Verdana" w:hAnsi="Verdana"/>
              </w:rPr>
            </w:pPr>
            <w:r w:rsidRPr="00FD366B">
              <w:rPr>
                <w:rFonts w:ascii="Verdana" w:hAnsi="Verdana"/>
              </w:rPr>
              <w:lastRenderedPageBreak/>
              <w:t>20 mg/L: Within ±1% of full-scale value</w:t>
            </w:r>
          </w:p>
          <w:p w14:paraId="26DFEA08" w14:textId="77777777" w:rsidR="00103EAF" w:rsidRPr="00FD366B" w:rsidRDefault="00103EAF" w:rsidP="00103EAF">
            <w:pPr>
              <w:rPr>
                <w:rFonts w:ascii="Verdana" w:hAnsi="Verdana"/>
              </w:rPr>
            </w:pPr>
            <w:r w:rsidRPr="00FD366B">
              <w:rPr>
                <w:rFonts w:ascii="Verdana" w:hAnsi="Verdana"/>
              </w:rPr>
              <w:t>30 mg/L to 500 mg/L: Within ±2% of full-scale value</w:t>
            </w:r>
          </w:p>
          <w:p w14:paraId="77220A2C" w14:textId="77777777" w:rsidR="00103EAF" w:rsidRPr="00FD366B" w:rsidRDefault="00103EAF" w:rsidP="00103EAF">
            <w:pPr>
              <w:rPr>
                <w:rFonts w:ascii="Verdana" w:hAnsi="Verdana"/>
              </w:rPr>
            </w:pPr>
            <w:r w:rsidRPr="00FD366B">
              <w:rPr>
                <w:rFonts w:ascii="Verdana" w:hAnsi="Verdana"/>
              </w:rPr>
              <w:t>1000 mg/L to 2000 mg/L: Within ±5% of full-scale value</w:t>
            </w:r>
          </w:p>
          <w:p w14:paraId="7DD7E678" w14:textId="50FB8944" w:rsidR="00103EAF" w:rsidRPr="00FD366B" w:rsidRDefault="00103EAF" w:rsidP="00103EAF">
            <w:pPr>
              <w:rPr>
                <w:rFonts w:ascii="Verdana" w:hAnsi="Verdana"/>
              </w:rPr>
            </w:pPr>
            <w:r w:rsidRPr="00FD366B">
              <w:rPr>
                <w:rFonts w:ascii="Verdana" w:hAnsi="Verdana"/>
              </w:rPr>
              <w:t>Heating method</w:t>
            </w:r>
            <w:r w:rsidRPr="00FD366B">
              <w:rPr>
                <w:rFonts w:ascii="Verdana" w:hAnsi="Verdana"/>
              </w:rPr>
              <w:t xml:space="preserve">: </w:t>
            </w:r>
            <w:r w:rsidRPr="00FD366B">
              <w:rPr>
                <w:rFonts w:ascii="Verdana" w:hAnsi="Verdana"/>
              </w:rPr>
              <w:t>Direct heating</w:t>
            </w:r>
          </w:p>
          <w:p w14:paraId="5EB17471" w14:textId="5A96132F" w:rsidR="00103EAF" w:rsidRPr="00FD366B" w:rsidRDefault="00103EAF" w:rsidP="00103EAF">
            <w:pPr>
              <w:rPr>
                <w:rFonts w:ascii="Verdana" w:hAnsi="Verdana"/>
              </w:rPr>
            </w:pPr>
            <w:r w:rsidRPr="00FD366B">
              <w:rPr>
                <w:rFonts w:ascii="Verdana" w:hAnsi="Verdana"/>
              </w:rPr>
              <w:t>End point detection</w:t>
            </w:r>
            <w:r w:rsidRPr="00FD366B">
              <w:rPr>
                <w:rFonts w:ascii="Verdana" w:hAnsi="Verdana"/>
              </w:rPr>
              <w:t xml:space="preserve">: </w:t>
            </w:r>
            <w:r w:rsidRPr="00FD366B">
              <w:rPr>
                <w:rFonts w:ascii="Verdana" w:hAnsi="Verdana"/>
              </w:rPr>
              <w:t>Potentiometric titration at constant current</w:t>
            </w:r>
          </w:p>
          <w:p w14:paraId="58CCEDCA" w14:textId="47550C6D" w:rsidR="00103EAF" w:rsidRPr="00FD366B" w:rsidRDefault="00103EAF" w:rsidP="00103EAF">
            <w:pPr>
              <w:rPr>
                <w:rFonts w:ascii="Verdana" w:hAnsi="Verdana"/>
              </w:rPr>
            </w:pPr>
            <w:r w:rsidRPr="00FD366B">
              <w:rPr>
                <w:rFonts w:ascii="Verdana" w:hAnsi="Verdana"/>
              </w:rPr>
              <w:t>Titration method</w:t>
            </w:r>
            <w:r w:rsidRPr="00FD366B">
              <w:rPr>
                <w:rFonts w:ascii="Verdana" w:hAnsi="Verdana"/>
              </w:rPr>
              <w:t xml:space="preserve">: </w:t>
            </w:r>
            <w:r w:rsidRPr="00FD366B">
              <w:rPr>
                <w:rFonts w:ascii="Verdana" w:hAnsi="Verdana"/>
              </w:rPr>
              <w:t>Micro syringe titration</w:t>
            </w:r>
          </w:p>
          <w:p w14:paraId="7DF5F5B4" w14:textId="77777777" w:rsidR="00103EAF" w:rsidRPr="00FD366B" w:rsidRDefault="00103EAF" w:rsidP="00103EAF">
            <w:pPr>
              <w:rPr>
                <w:rFonts w:ascii="Verdana" w:hAnsi="Verdana"/>
              </w:rPr>
            </w:pPr>
            <w:r w:rsidRPr="00FD366B">
              <w:rPr>
                <w:rFonts w:ascii="Verdana" w:hAnsi="Verdana"/>
              </w:rPr>
              <w:t>Measurement interval</w:t>
            </w:r>
            <w:r w:rsidRPr="00FD366B">
              <w:rPr>
                <w:rFonts w:ascii="Verdana" w:hAnsi="Verdana"/>
              </w:rPr>
              <w:t xml:space="preserve">: </w:t>
            </w:r>
            <w:r w:rsidRPr="00FD366B">
              <w:rPr>
                <w:rFonts w:ascii="Verdana" w:hAnsi="Verdana"/>
              </w:rPr>
              <w:t>60 minutes</w:t>
            </w:r>
          </w:p>
          <w:p w14:paraId="7CBF7F8E" w14:textId="77777777" w:rsidR="00103EAF" w:rsidRPr="00FD366B" w:rsidRDefault="00103EAF" w:rsidP="00103EAF">
            <w:pPr>
              <w:rPr>
                <w:rFonts w:ascii="Verdana" w:hAnsi="Verdana"/>
                <w:b/>
                <w:bCs/>
              </w:rPr>
            </w:pPr>
            <w:r w:rsidRPr="00FD366B">
              <w:rPr>
                <w:rFonts w:ascii="Verdana" w:hAnsi="Verdana"/>
                <w:b/>
                <w:bCs/>
              </w:rPr>
              <w:t>Measuring conditions</w:t>
            </w:r>
          </w:p>
          <w:p w14:paraId="6FA35527" w14:textId="11EE1C5C" w:rsidR="00103EAF" w:rsidRPr="00FD366B" w:rsidRDefault="00103EAF" w:rsidP="00103EAF">
            <w:pPr>
              <w:rPr>
                <w:rFonts w:ascii="Verdana" w:hAnsi="Verdana"/>
              </w:rPr>
            </w:pPr>
            <w:r w:rsidRPr="00FD366B">
              <w:rPr>
                <w:rFonts w:ascii="Verdana" w:hAnsi="Verdana"/>
              </w:rPr>
              <w:t>Ambient temperature</w:t>
            </w:r>
            <w:r w:rsidR="00FD366B" w:rsidRPr="00FD366B">
              <w:rPr>
                <w:rFonts w:ascii="Verdana" w:hAnsi="Verdana"/>
              </w:rPr>
              <w:t xml:space="preserve">: </w:t>
            </w:r>
            <w:r w:rsidRPr="00FD366B">
              <w:rPr>
                <w:rFonts w:ascii="Verdana" w:hAnsi="Verdana"/>
              </w:rPr>
              <w:t>2</w:t>
            </w:r>
            <w:r w:rsidRPr="00FD366B">
              <w:rPr>
                <w:rFonts w:ascii="Cambria Math" w:hAnsi="Cambria Math" w:cs="Cambria Math"/>
              </w:rPr>
              <w:t>℃</w:t>
            </w:r>
            <w:r w:rsidRPr="00FD366B">
              <w:rPr>
                <w:rFonts w:ascii="Verdana" w:hAnsi="Verdana"/>
              </w:rPr>
              <w:t xml:space="preserve"> to 40</w:t>
            </w:r>
            <w:r w:rsidRPr="00FD366B">
              <w:rPr>
                <w:rFonts w:ascii="Cambria Math" w:hAnsi="Cambria Math" w:cs="Cambria Math"/>
              </w:rPr>
              <w:t>℃</w:t>
            </w:r>
          </w:p>
          <w:p w14:paraId="6806BA58" w14:textId="091DAC79" w:rsidR="00103EAF" w:rsidRPr="00FD366B" w:rsidRDefault="00103EAF" w:rsidP="00103EAF">
            <w:pPr>
              <w:rPr>
                <w:rFonts w:ascii="Verdana" w:hAnsi="Verdana"/>
              </w:rPr>
            </w:pPr>
            <w:r w:rsidRPr="00FD366B">
              <w:rPr>
                <w:rFonts w:ascii="Verdana" w:hAnsi="Verdana"/>
              </w:rPr>
              <w:t>Ambient humidity</w:t>
            </w:r>
            <w:r w:rsidR="00FD366B" w:rsidRPr="00FD366B">
              <w:rPr>
                <w:rFonts w:ascii="Verdana" w:hAnsi="Verdana"/>
              </w:rPr>
              <w:t xml:space="preserve">: </w:t>
            </w:r>
            <w:r w:rsidRPr="00FD366B">
              <w:rPr>
                <w:rFonts w:ascii="Verdana" w:hAnsi="Verdana"/>
              </w:rPr>
              <w:t>Relative humidity: 85% max. (without</w:t>
            </w:r>
            <w:r w:rsidR="00FD366B" w:rsidRPr="00FD366B">
              <w:rPr>
                <w:rFonts w:ascii="Verdana" w:hAnsi="Verdana"/>
              </w:rPr>
              <w:t xml:space="preserve"> </w:t>
            </w:r>
            <w:r w:rsidRPr="00FD366B">
              <w:rPr>
                <w:rFonts w:ascii="Verdana" w:hAnsi="Verdana"/>
              </w:rPr>
              <w:t>condensation)</w:t>
            </w:r>
          </w:p>
          <w:p w14:paraId="274F2F2A" w14:textId="77777777" w:rsidR="00103EAF" w:rsidRPr="00FD366B" w:rsidRDefault="00103EAF" w:rsidP="00103EAF">
            <w:pPr>
              <w:rPr>
                <w:rFonts w:ascii="Verdana" w:hAnsi="Verdana"/>
              </w:rPr>
            </w:pPr>
            <w:r w:rsidRPr="00FD366B">
              <w:rPr>
                <w:rFonts w:ascii="Verdana" w:hAnsi="Verdana"/>
              </w:rPr>
              <w:t>Power supply voltage</w:t>
            </w:r>
            <w:r w:rsidR="00FD366B" w:rsidRPr="00FD366B">
              <w:rPr>
                <w:rFonts w:ascii="Verdana" w:hAnsi="Verdana"/>
              </w:rPr>
              <w:t xml:space="preserve"> </w:t>
            </w:r>
            <w:r w:rsidRPr="00FD366B">
              <w:rPr>
                <w:rFonts w:ascii="Verdana" w:hAnsi="Verdana"/>
              </w:rPr>
              <w:t>fluctuations</w:t>
            </w:r>
            <w:r w:rsidR="00FD366B" w:rsidRPr="00FD366B">
              <w:rPr>
                <w:rFonts w:ascii="Verdana" w:hAnsi="Verdana"/>
              </w:rPr>
              <w:t xml:space="preserve">: </w:t>
            </w:r>
            <w:r w:rsidRPr="00FD366B">
              <w:rPr>
                <w:rFonts w:ascii="Verdana" w:hAnsi="Verdana"/>
              </w:rPr>
              <w:t>100 V to 240 V AC ±10%</w:t>
            </w:r>
          </w:p>
          <w:p w14:paraId="0B4BF915" w14:textId="77777777" w:rsidR="00FD366B" w:rsidRPr="00FD366B" w:rsidRDefault="00FD366B" w:rsidP="00FD366B">
            <w:pPr>
              <w:rPr>
                <w:rFonts w:ascii="Verdana" w:eastAsia="Times New Roman" w:hAnsi="Verdana" w:cs="Times New Roman"/>
                <w:b/>
                <w:color w:val="2E74B5" w:themeColor="accent5" w:themeShade="BF"/>
              </w:rPr>
            </w:pPr>
            <w:r w:rsidRPr="00FD366B">
              <w:rPr>
                <w:rFonts w:ascii="Verdana" w:eastAsia="Times New Roman" w:hAnsi="Verdana" w:cs="Times New Roman"/>
                <w:b/>
                <w:color w:val="2E74B5" w:themeColor="accent5" w:themeShade="BF"/>
              </w:rPr>
              <w:t>Documentation:</w:t>
            </w:r>
          </w:p>
          <w:p w14:paraId="7C9F6062" w14:textId="77777777" w:rsidR="00FD366B" w:rsidRPr="00FD366B" w:rsidRDefault="00FD366B" w:rsidP="00FD366B">
            <w:pPr>
              <w:numPr>
                <w:ilvl w:val="0"/>
                <w:numId w:val="2"/>
              </w:numPr>
              <w:ind w:left="740"/>
              <w:contextualSpacing/>
              <w:rPr>
                <w:rFonts w:ascii="Verdana" w:eastAsia="Times New Roman" w:hAnsi="Verdana" w:cs="Times New Roman"/>
              </w:rPr>
            </w:pPr>
            <w:r w:rsidRPr="00FD366B">
              <w:rPr>
                <w:rFonts w:ascii="Verdana" w:eastAsia="Times New Roman" w:hAnsi="Verdana" w:cs="Times New Roman"/>
              </w:rPr>
              <w:t>CE marking and declaration conformity</w:t>
            </w:r>
          </w:p>
          <w:p w14:paraId="5A4BE2EC" w14:textId="77777777" w:rsidR="00FD366B" w:rsidRPr="00FD366B" w:rsidRDefault="00FD366B" w:rsidP="00FD366B">
            <w:pPr>
              <w:numPr>
                <w:ilvl w:val="0"/>
                <w:numId w:val="2"/>
              </w:numPr>
              <w:ind w:left="740"/>
              <w:contextualSpacing/>
              <w:rPr>
                <w:rFonts w:ascii="Verdana" w:eastAsia="Times New Roman" w:hAnsi="Verdana" w:cs="Times New Roman"/>
              </w:rPr>
            </w:pPr>
            <w:r w:rsidRPr="00FD366B">
              <w:rPr>
                <w:rFonts w:ascii="Verdana" w:eastAsia="Times New Roman" w:hAnsi="Verdana" w:cs="Times New Roman"/>
              </w:rPr>
              <w:t>Documents for the Installation and Operational Qualification (IQ / OQ)</w:t>
            </w:r>
          </w:p>
          <w:p w14:paraId="4C071387" w14:textId="1BCE742F" w:rsidR="00FD366B" w:rsidRPr="00FD366B" w:rsidRDefault="00FD366B" w:rsidP="00FD366B">
            <w:pPr>
              <w:numPr>
                <w:ilvl w:val="0"/>
                <w:numId w:val="2"/>
              </w:numPr>
              <w:ind w:left="740"/>
              <w:contextualSpacing/>
              <w:rPr>
                <w:rFonts w:ascii="Verdana" w:eastAsia="Times New Roman" w:hAnsi="Verdana" w:cs="Times New Roman"/>
              </w:rPr>
            </w:pPr>
            <w:r w:rsidRPr="00FD366B">
              <w:rPr>
                <w:rFonts w:ascii="Verdana" w:eastAsia="Times New Roman" w:hAnsi="Verdana" w:cs="Times New Roman"/>
              </w:rPr>
              <w:t>Functional Specification - Design Qualification (DQ) and others relevant document</w:t>
            </w:r>
          </w:p>
        </w:tc>
        <w:tc>
          <w:tcPr>
            <w:tcW w:w="1897" w:type="dxa"/>
          </w:tcPr>
          <w:p w14:paraId="192B3FD8" w14:textId="5F175C5B" w:rsidR="005D6F0A" w:rsidRPr="00FD366B" w:rsidRDefault="00FD366B">
            <w:pPr>
              <w:rPr>
                <w:rFonts w:ascii="Verdana" w:hAnsi="Verdana"/>
              </w:rPr>
            </w:pPr>
            <w:r w:rsidRPr="00FD366B">
              <w:rPr>
                <w:rFonts w:ascii="Verdana" w:hAnsi="Verdana"/>
              </w:rPr>
              <w:lastRenderedPageBreak/>
              <w:t>Pcs</w:t>
            </w:r>
          </w:p>
          <w:p w14:paraId="4684FD01" w14:textId="77DDF5CA" w:rsidR="00FD366B" w:rsidRPr="00FD366B" w:rsidRDefault="00FD366B">
            <w:pPr>
              <w:rPr>
                <w:rFonts w:ascii="Verdana" w:hAnsi="Verdana"/>
              </w:rPr>
            </w:pPr>
          </w:p>
        </w:tc>
        <w:tc>
          <w:tcPr>
            <w:tcW w:w="1686" w:type="dxa"/>
          </w:tcPr>
          <w:p w14:paraId="76EAFCD5" w14:textId="22D24641" w:rsidR="005D6F0A" w:rsidRPr="00FD366B" w:rsidRDefault="00FD366B">
            <w:pPr>
              <w:rPr>
                <w:rFonts w:ascii="Verdana" w:hAnsi="Verdana"/>
              </w:rPr>
            </w:pPr>
            <w:r w:rsidRPr="00FD366B">
              <w:rPr>
                <w:rFonts w:ascii="Verdana" w:hAnsi="Verdana"/>
              </w:rPr>
              <w:t>1</w:t>
            </w:r>
          </w:p>
        </w:tc>
      </w:tr>
    </w:tbl>
    <w:p w14:paraId="15AAB5B8" w14:textId="77777777" w:rsidR="00C24D0C" w:rsidRPr="00FD366B" w:rsidRDefault="00C24D0C">
      <w:pPr>
        <w:rPr>
          <w:rFonts w:ascii="Verdana" w:hAnsi="Verdana"/>
        </w:rPr>
      </w:pPr>
    </w:p>
    <w:sectPr w:rsidR="00C24D0C" w:rsidRPr="00FD366B" w:rsidSect="005D6F0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A14CC"/>
    <w:multiLevelType w:val="multilevel"/>
    <w:tmpl w:val="0860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81153"/>
    <w:multiLevelType w:val="hybridMultilevel"/>
    <w:tmpl w:val="CAFCC0B2"/>
    <w:lvl w:ilvl="0" w:tplc="FA4499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3605512">
    <w:abstractNumId w:val="0"/>
  </w:num>
  <w:num w:numId="2" w16cid:durableId="1461650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0C"/>
    <w:rsid w:val="00103EAF"/>
    <w:rsid w:val="005D6F0A"/>
    <w:rsid w:val="00C24D0C"/>
    <w:rsid w:val="00FD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EADD"/>
  <w15:chartTrackingRefBased/>
  <w15:docId w15:val="{84B441AA-9233-416C-8FDC-EE815BD9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Samrawit Birhanu</dc:creator>
  <cp:keywords/>
  <dc:description/>
  <cp:lastModifiedBy>Samrawit Birhanu</cp:lastModifiedBy>
  <cp:revision>2</cp:revision>
  <dcterms:created xsi:type="dcterms:W3CDTF">2022-08-31T02:56:00Z</dcterms:created>
  <dcterms:modified xsi:type="dcterms:W3CDTF">2022-08-31T03:14:00Z</dcterms:modified>
</cp:coreProperties>
</file>