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1064"/>
        <w:gridCol w:w="3168"/>
        <w:gridCol w:w="7258"/>
        <w:gridCol w:w="1897"/>
        <w:gridCol w:w="1283"/>
      </w:tblGrid>
      <w:tr w:rsidR="00844F57" w:rsidRPr="009960DB" w14:paraId="253503F0" w14:textId="77777777" w:rsidTr="009960DB">
        <w:tc>
          <w:tcPr>
            <w:tcW w:w="1072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22068F25" w14:textId="13D49716" w:rsidR="00844F57" w:rsidRPr="009960DB" w:rsidRDefault="00844F57" w:rsidP="00844F57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20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70AE4FA9" w14:textId="5DB4EDB9" w:rsidR="00844F57" w:rsidRPr="009960DB" w:rsidRDefault="00844F57" w:rsidP="00844F57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42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6A3302B3" w14:textId="0110BE08" w:rsidR="00844F57" w:rsidRPr="009960DB" w:rsidRDefault="00844F57" w:rsidP="00844F57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6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56FAFD" w14:textId="77777777" w:rsidR="00844F57" w:rsidRPr="009960DB" w:rsidRDefault="00844F57" w:rsidP="00844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1FB740E" w14:textId="75E7C40E" w:rsidR="00844F57" w:rsidRPr="009960DB" w:rsidRDefault="00844F57" w:rsidP="00844F57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6A00D8F" w14:textId="5759341C" w:rsidR="00844F57" w:rsidRPr="009960DB" w:rsidRDefault="00844F57" w:rsidP="00844F57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844F57" w:rsidRPr="009960DB" w14:paraId="744A12A9" w14:textId="77777777" w:rsidTr="009960DB">
        <w:tc>
          <w:tcPr>
            <w:tcW w:w="1072" w:type="dxa"/>
          </w:tcPr>
          <w:p w14:paraId="7DE4D19F" w14:textId="2CFABD47" w:rsidR="00844F57" w:rsidRPr="009960DB" w:rsidRDefault="00686CC5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1</w:t>
            </w:r>
          </w:p>
        </w:tc>
        <w:tc>
          <w:tcPr>
            <w:tcW w:w="3203" w:type="dxa"/>
          </w:tcPr>
          <w:p w14:paraId="4E4AACE2" w14:textId="12CB14F5" w:rsidR="00844F57" w:rsidRPr="009960DB" w:rsidRDefault="009960D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FIBER OPTIC TYPE CHEMICAL CONCENTRATION MONITOR</w:t>
            </w:r>
          </w:p>
        </w:tc>
        <w:tc>
          <w:tcPr>
            <w:tcW w:w="7425" w:type="dxa"/>
          </w:tcPr>
          <w:p w14:paraId="4C038504" w14:textId="77777777" w:rsidR="00844F57" w:rsidRPr="009960DB" w:rsidRDefault="00702EA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60DB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D48BD66" w14:textId="77777777" w:rsidR="00702EAC" w:rsidRPr="009960DB" w:rsidRDefault="00702EAC" w:rsidP="00E64151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02EAC">
              <w:rPr>
                <w:rFonts w:ascii="Verdana" w:hAnsi="Verdana"/>
              </w:rPr>
              <w:t>Reduced Sizes for More Flexible Layout</w:t>
            </w:r>
          </w:p>
          <w:p w14:paraId="4F34C686" w14:textId="0A96C12F" w:rsidR="00702EAC" w:rsidRPr="00702EAC" w:rsidRDefault="00702EAC" w:rsidP="00E64151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02EAC">
              <w:rPr>
                <w:rFonts w:ascii="Verdana" w:hAnsi="Verdana"/>
              </w:rPr>
              <w:t>High-stability, In-line Measurement of High Temperature Chemical Solutions (20 to 80</w:t>
            </w:r>
            <w:r w:rsidRPr="00702EAC">
              <w:rPr>
                <w:rFonts w:ascii="Cambria Math" w:hAnsi="Cambria Math" w:cs="Cambria Math"/>
              </w:rPr>
              <w:t>℃</w:t>
            </w:r>
            <w:r w:rsidRPr="00702EAC">
              <w:rPr>
                <w:rFonts w:ascii="Verdana" w:hAnsi="Verdana"/>
              </w:rPr>
              <w:t>).</w:t>
            </w:r>
          </w:p>
          <w:p w14:paraId="36B0D03B" w14:textId="547DD45B" w:rsidR="00702EAC" w:rsidRPr="00702EAC" w:rsidRDefault="00702EAC" w:rsidP="00702EAC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702EAC">
              <w:rPr>
                <w:rFonts w:ascii="Verdana" w:hAnsi="Verdana"/>
              </w:rPr>
              <w:t>Significantly Reduced Background Correction Frequency.</w:t>
            </w:r>
          </w:p>
          <w:p w14:paraId="38314133" w14:textId="7A488E4E" w:rsidR="00702EAC" w:rsidRPr="00702EAC" w:rsidRDefault="00702EAC" w:rsidP="00702EAC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702EAC">
              <w:rPr>
                <w:rFonts w:ascii="Verdana" w:hAnsi="Verdana"/>
              </w:rPr>
              <w:t>A Single Monitor is Capable of Measuring Up to Six Types of Chemical Solutions (solution types or ranges).</w:t>
            </w:r>
          </w:p>
          <w:p w14:paraId="549F0C3B" w14:textId="4C885214" w:rsidR="00702EAC" w:rsidRPr="00702EAC" w:rsidRDefault="00702EAC" w:rsidP="00702EAC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702EAC">
              <w:rPr>
                <w:rFonts w:ascii="Verdana" w:hAnsi="Verdana"/>
              </w:rPr>
              <w:t>Capable of Outputting Measured Values of Up to Six Components (Serial Output).</w:t>
            </w:r>
          </w:p>
          <w:p w14:paraId="2B6A80B0" w14:textId="77777777" w:rsidR="00702EAC" w:rsidRPr="009960DB" w:rsidRDefault="00702EA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60DB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89983E4" w14:textId="5BDF2921" w:rsidR="00702EAC" w:rsidRPr="009960DB" w:rsidRDefault="00702EAC" w:rsidP="00702EAC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Measurement</w:t>
            </w:r>
            <w:r w:rsidRPr="009960DB">
              <w:rPr>
                <w:rFonts w:ascii="Verdana" w:hAnsi="Verdana"/>
              </w:rPr>
              <w:t xml:space="preserve"> </w:t>
            </w:r>
            <w:r w:rsidRPr="009960DB">
              <w:rPr>
                <w:rFonts w:ascii="Verdana" w:hAnsi="Verdana"/>
              </w:rPr>
              <w:t>principle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Absorption spectroscopic method</w:t>
            </w:r>
          </w:p>
          <w:p w14:paraId="23B92626" w14:textId="77777777" w:rsidR="00702EAC" w:rsidRPr="009960DB" w:rsidRDefault="00702EAC" w:rsidP="00702EAC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Calculation</w:t>
            </w:r>
            <w:r w:rsidRPr="009960DB">
              <w:rPr>
                <w:rFonts w:ascii="Verdana" w:hAnsi="Verdana"/>
              </w:rPr>
              <w:t xml:space="preserve"> </w:t>
            </w:r>
            <w:r w:rsidRPr="009960DB">
              <w:rPr>
                <w:rFonts w:ascii="Verdana" w:hAnsi="Verdana"/>
              </w:rPr>
              <w:t>principle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Temperature compensation type multivariate analysis</w:t>
            </w:r>
          </w:p>
          <w:p w14:paraId="499A0E60" w14:textId="4D10F3B9" w:rsidR="00702EAC" w:rsidRPr="009960DB" w:rsidRDefault="00702EAC" w:rsidP="00702EAC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Measurement target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NH3/H2O2/H2O (</w:t>
            </w:r>
            <w:r w:rsidRPr="009960DB">
              <w:rPr>
                <w:rFonts w:ascii="Verdana" w:hAnsi="Verdana"/>
              </w:rPr>
              <w:t>representative</w:t>
            </w:r>
            <w:r w:rsidRPr="009960DB">
              <w:rPr>
                <w:rFonts w:ascii="Verdana" w:hAnsi="Verdana"/>
              </w:rPr>
              <w:t xml:space="preserve"> specification)</w:t>
            </w:r>
          </w:p>
          <w:p w14:paraId="707D7E82" w14:textId="77777777" w:rsidR="00702EAC" w:rsidRPr="009960DB" w:rsidRDefault="00702EAC" w:rsidP="00702EAC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Measurement range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NH3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/>
              </w:rPr>
              <w:t>0.00</w:t>
            </w:r>
            <w:r w:rsidRPr="009960DB">
              <w:rPr>
                <w:rFonts w:ascii="Verdana" w:eastAsia="MS Gothic" w:hAnsi="Verdana" w:cs="MS Gothic"/>
              </w:rPr>
              <w:t>～</w:t>
            </w:r>
            <w:r w:rsidRPr="009960DB">
              <w:rPr>
                <w:rFonts w:ascii="Verdana" w:hAnsi="Verdana"/>
              </w:rPr>
              <w:t>1.20mass%</w:t>
            </w:r>
            <w:r w:rsidRPr="009960DB">
              <w:rPr>
                <w:rFonts w:ascii="Verdana" w:eastAsia="MS Gothic" w:hAnsi="Verdana" w:cs="MS Gothic"/>
              </w:rPr>
              <w:t>、</w:t>
            </w:r>
            <w:r w:rsidRPr="009960DB">
              <w:rPr>
                <w:rFonts w:ascii="Verdana" w:hAnsi="Verdana"/>
              </w:rPr>
              <w:t>H2O2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/>
              </w:rPr>
              <w:t>0.00</w:t>
            </w:r>
            <w:r w:rsidRPr="009960DB">
              <w:rPr>
                <w:rFonts w:ascii="Verdana" w:eastAsia="MS Gothic" w:hAnsi="Verdana" w:cs="MS Gothic"/>
              </w:rPr>
              <w:t>～</w:t>
            </w:r>
            <w:r w:rsidRPr="009960DB">
              <w:rPr>
                <w:rFonts w:ascii="Verdana" w:hAnsi="Verdana"/>
              </w:rPr>
              <w:t>5.50mass%</w:t>
            </w:r>
          </w:p>
          <w:p w14:paraId="0BC4379C" w14:textId="77777777" w:rsidR="00702EAC" w:rsidRPr="009960DB" w:rsidRDefault="00702EAC" w:rsidP="00702EAC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H2O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/>
              </w:rPr>
              <w:t>93.3</w:t>
            </w:r>
            <w:r w:rsidRPr="009960DB">
              <w:rPr>
                <w:rFonts w:ascii="Verdana" w:eastAsia="MS Gothic" w:hAnsi="Verdana" w:cs="MS Gothic"/>
              </w:rPr>
              <w:t>～</w:t>
            </w:r>
            <w:r w:rsidRPr="009960DB">
              <w:rPr>
                <w:rFonts w:ascii="Verdana" w:hAnsi="Verdana"/>
              </w:rPr>
              <w:t>100.0mass%</w:t>
            </w:r>
          </w:p>
          <w:p w14:paraId="051A2460" w14:textId="0921144B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Repeatability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NH3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 w:cs="Calibri"/>
              </w:rPr>
              <w:t>±</w:t>
            </w:r>
            <w:r w:rsidRPr="009960DB">
              <w:rPr>
                <w:rFonts w:ascii="Verdana" w:hAnsi="Verdana"/>
              </w:rPr>
              <w:t>0.05mass%</w:t>
            </w:r>
            <w:r w:rsidRPr="009960DB">
              <w:rPr>
                <w:rFonts w:ascii="Verdana" w:eastAsia="MS Gothic" w:hAnsi="Verdana" w:cs="MS Gothic"/>
              </w:rPr>
              <w:t>、</w:t>
            </w:r>
            <w:r w:rsidRPr="009960DB">
              <w:rPr>
                <w:rFonts w:ascii="Verdana" w:hAnsi="Verdana"/>
              </w:rPr>
              <w:t>H2O2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 w:cs="Calibri"/>
              </w:rPr>
              <w:t>±</w:t>
            </w:r>
            <w:r w:rsidRPr="009960DB">
              <w:rPr>
                <w:rFonts w:ascii="Verdana" w:hAnsi="Verdana"/>
              </w:rPr>
              <w:t>10mass%</w:t>
            </w:r>
            <w:r w:rsidRPr="009960DB">
              <w:rPr>
                <w:rFonts w:ascii="Verdana" w:eastAsia="MS Gothic" w:hAnsi="Verdana" w:cs="MS Gothic"/>
              </w:rPr>
              <w:t>、</w:t>
            </w:r>
            <w:r w:rsidRPr="009960DB">
              <w:rPr>
                <w:rFonts w:ascii="Verdana" w:hAnsi="Verdana"/>
              </w:rPr>
              <w:t>H2O</w:t>
            </w:r>
            <w:r w:rsidRPr="009960DB">
              <w:rPr>
                <w:rFonts w:ascii="Verdana" w:eastAsia="MS Gothic" w:hAnsi="Verdana" w:cs="MS Gothic"/>
              </w:rPr>
              <w:t>：</w:t>
            </w:r>
            <w:r w:rsidRPr="009960DB">
              <w:rPr>
                <w:rFonts w:ascii="Verdana" w:hAnsi="Verdana" w:cs="Calibri"/>
              </w:rPr>
              <w:t>±</w:t>
            </w:r>
            <w:r w:rsidRPr="009960DB">
              <w:rPr>
                <w:rFonts w:ascii="Verdana" w:hAnsi="Verdana"/>
              </w:rPr>
              <w:t>1.0mass%</w:t>
            </w:r>
          </w:p>
          <w:p w14:paraId="56F21BF7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Chemical temperature: Within ±1</w:t>
            </w:r>
            <w:r w:rsidRPr="009960DB">
              <w:rPr>
                <w:rFonts w:ascii="Cambria Math" w:hAnsi="Cambria Math" w:cs="Cambria Math"/>
              </w:rPr>
              <w:t>℃</w:t>
            </w:r>
            <w:r w:rsidRPr="009960DB">
              <w:rPr>
                <w:rFonts w:ascii="Verdana" w:hAnsi="Verdana"/>
              </w:rPr>
              <w:t>/1 hour</w:t>
            </w:r>
          </w:p>
          <w:p w14:paraId="4C686BEB" w14:textId="77777777" w:rsidR="0013421B" w:rsidRPr="009960DB" w:rsidRDefault="0013421B" w:rsidP="0013421B">
            <w:pPr>
              <w:rPr>
                <w:rFonts w:ascii="Verdana" w:hAnsi="Verdana" w:cs="Cambria Math"/>
              </w:rPr>
            </w:pPr>
            <w:r w:rsidRPr="009960DB">
              <w:rPr>
                <w:rFonts w:ascii="Verdana" w:hAnsi="Verdana"/>
              </w:rPr>
              <w:t>Sample solution</w:t>
            </w:r>
            <w:r w:rsidRPr="009960DB">
              <w:rPr>
                <w:rFonts w:ascii="Verdana" w:hAnsi="Verdana"/>
              </w:rPr>
              <w:t xml:space="preserve"> </w:t>
            </w:r>
            <w:r w:rsidRPr="009960DB">
              <w:rPr>
                <w:rFonts w:ascii="Verdana" w:hAnsi="Verdana"/>
              </w:rPr>
              <w:t>temperature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20</w:t>
            </w:r>
            <w:r w:rsidRPr="009960DB">
              <w:rPr>
                <w:rFonts w:ascii="Verdana" w:eastAsia="MS Gothic" w:hAnsi="Verdana" w:cs="MS Gothic"/>
              </w:rPr>
              <w:t>〜</w:t>
            </w:r>
            <w:r w:rsidRPr="009960DB">
              <w:rPr>
                <w:rFonts w:ascii="Verdana" w:hAnsi="Verdana"/>
              </w:rPr>
              <w:t>80</w:t>
            </w:r>
            <w:r w:rsidRPr="009960DB">
              <w:rPr>
                <w:rFonts w:ascii="Cambria Math" w:hAnsi="Cambria Math" w:cs="Cambria Math"/>
              </w:rPr>
              <w:t>℃</w:t>
            </w:r>
          </w:p>
          <w:p w14:paraId="66D44BE0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Measurement cycle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Approx. 3 seconds</w:t>
            </w:r>
          </w:p>
          <w:p w14:paraId="08DA4F22" w14:textId="0BD61796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Air</w:t>
            </w:r>
            <w:r w:rsidRPr="009960DB">
              <w:rPr>
                <w:rFonts w:ascii="Verdana" w:hAnsi="Verdana"/>
              </w:rPr>
              <w:t xml:space="preserve"> </w:t>
            </w:r>
            <w:r w:rsidRPr="009960DB">
              <w:rPr>
                <w:rFonts w:ascii="Verdana" w:hAnsi="Verdana"/>
              </w:rPr>
              <w:t>(for operation and purge)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Connection port: 4 mm O.D. quick joint,</w:t>
            </w:r>
          </w:p>
          <w:p w14:paraId="31DFED98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 xml:space="preserve">Pressure: 0.2 MPa ±0.02 </w:t>
            </w:r>
            <w:proofErr w:type="spellStart"/>
            <w:r w:rsidRPr="009960DB">
              <w:rPr>
                <w:rFonts w:ascii="Verdana" w:hAnsi="Verdana"/>
              </w:rPr>
              <w:t>Mpa</w:t>
            </w:r>
            <w:proofErr w:type="spellEnd"/>
          </w:p>
          <w:p w14:paraId="6F8ABFB0" w14:textId="1522E39A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Power source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100</w:t>
            </w:r>
            <w:r w:rsidRPr="009960DB">
              <w:rPr>
                <w:rFonts w:ascii="Verdana" w:eastAsia="MS Gothic" w:hAnsi="Verdana" w:cs="MS Gothic"/>
              </w:rPr>
              <w:t>～</w:t>
            </w:r>
            <w:r w:rsidRPr="009960DB">
              <w:rPr>
                <w:rFonts w:ascii="Verdana" w:hAnsi="Verdana"/>
              </w:rPr>
              <w:t xml:space="preserve">230V </w:t>
            </w:r>
            <w:proofErr w:type="spellStart"/>
            <w:r w:rsidRPr="009960DB">
              <w:rPr>
                <w:rFonts w:ascii="Verdana" w:hAnsi="Verdana"/>
              </w:rPr>
              <w:t>AC</w:t>
            </w:r>
            <w:r w:rsidRPr="009960DB">
              <w:rPr>
                <w:rFonts w:ascii="Verdana" w:eastAsia="MS Gothic" w:hAnsi="Verdana" w:cs="MS Gothic"/>
              </w:rPr>
              <w:t>（</w:t>
            </w:r>
            <w:r w:rsidRPr="009960DB">
              <w:rPr>
                <w:rFonts w:ascii="Verdana" w:hAnsi="Verdana"/>
              </w:rPr>
              <w:t>Single-Phase</w:t>
            </w:r>
            <w:proofErr w:type="spellEnd"/>
            <w:r w:rsidRPr="009960DB">
              <w:rPr>
                <w:rFonts w:ascii="Verdana" w:eastAsia="MS Gothic" w:hAnsi="Verdana" w:cs="MS Gothic"/>
              </w:rPr>
              <w:t>）、</w:t>
            </w:r>
            <w:r w:rsidRPr="009960DB">
              <w:rPr>
                <w:rFonts w:ascii="Verdana" w:hAnsi="Verdana"/>
              </w:rPr>
              <w:t>50/60Hz</w:t>
            </w:r>
          </w:p>
          <w:p w14:paraId="38E8A817" w14:textId="5110FF7B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Power consumption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Approx. 85 VA</w:t>
            </w:r>
          </w:p>
          <w:p w14:paraId="50855C96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(</w:t>
            </w:r>
            <w:proofErr w:type="gramStart"/>
            <w:r w:rsidRPr="009960DB">
              <w:rPr>
                <w:rFonts w:ascii="Verdana" w:hAnsi="Verdana"/>
              </w:rPr>
              <w:t>transient</w:t>
            </w:r>
            <w:proofErr w:type="gramEnd"/>
            <w:r w:rsidRPr="009960DB">
              <w:rPr>
                <w:rFonts w:ascii="Verdana" w:hAnsi="Verdana"/>
              </w:rPr>
              <w:t xml:space="preserve"> electric current at the time of the start is excluded)</w:t>
            </w:r>
          </w:p>
          <w:p w14:paraId="273DC55A" w14:textId="0339CFA2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Weight</w:t>
            </w:r>
            <w:r w:rsidRPr="009960DB">
              <w:rPr>
                <w:rFonts w:ascii="Verdana" w:hAnsi="Verdana"/>
              </w:rPr>
              <w:t>:</w:t>
            </w:r>
            <w:r w:rsidRPr="009960DB">
              <w:rPr>
                <w:rFonts w:ascii="Verdana" w:hAnsi="Verdana"/>
              </w:rPr>
              <w:t>(Monitor) Approx. 3.6 kg</w:t>
            </w:r>
          </w:p>
          <w:p w14:paraId="07C8E5E4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(Lamp unit) Approx. 2.8 kg</w:t>
            </w:r>
          </w:p>
          <w:p w14:paraId="41280749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(Sample cell) Approx. 1.2 kg</w:t>
            </w:r>
          </w:p>
          <w:p w14:paraId="37AC62D9" w14:textId="1DCBF12E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lastRenderedPageBreak/>
              <w:t>Ambient temperature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(Monitor, Lamp unit) 20°C to 30°C</w:t>
            </w:r>
          </w:p>
          <w:p w14:paraId="6B58E4D0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(Sample cell, Optical fiber) 20°C to 35°C</w:t>
            </w:r>
          </w:p>
          <w:p w14:paraId="4C4EF26D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(Sudden temperature change should be avoided, within ±1°C/1 hour)</w:t>
            </w:r>
          </w:p>
          <w:p w14:paraId="11EE2C3D" w14:textId="77777777" w:rsidR="0013421B" w:rsidRPr="009960DB" w:rsidRDefault="0013421B" w:rsidP="0013421B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Ambient humidity</w:t>
            </w:r>
            <w:r w:rsidRPr="009960DB">
              <w:rPr>
                <w:rFonts w:ascii="Verdana" w:hAnsi="Verdana"/>
              </w:rPr>
              <w:t xml:space="preserve">: </w:t>
            </w:r>
            <w:r w:rsidRPr="009960DB">
              <w:rPr>
                <w:rFonts w:ascii="Verdana" w:hAnsi="Verdana"/>
              </w:rPr>
              <w:t>(Monitor, Lamp unit, Sample cell) 40% to 70%</w:t>
            </w:r>
          </w:p>
          <w:p w14:paraId="65602099" w14:textId="77777777" w:rsidR="009960DB" w:rsidRPr="009960DB" w:rsidRDefault="009960DB" w:rsidP="009960DB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9960DB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33CF6865" w14:textId="77777777" w:rsidR="009960DB" w:rsidRPr="009960DB" w:rsidRDefault="009960DB" w:rsidP="009960DB">
            <w:pPr>
              <w:pStyle w:val="ListParagraph"/>
              <w:numPr>
                <w:ilvl w:val="0"/>
                <w:numId w:val="6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9960DB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677FD99E" w14:textId="77777777" w:rsidR="009960DB" w:rsidRPr="009960DB" w:rsidRDefault="009960DB" w:rsidP="009960DB">
            <w:pPr>
              <w:pStyle w:val="ListParagraph"/>
              <w:numPr>
                <w:ilvl w:val="0"/>
                <w:numId w:val="6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9960DB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21D73824" w14:textId="02ADFAEC" w:rsidR="009960DB" w:rsidRPr="009960DB" w:rsidRDefault="009960DB" w:rsidP="009960DB">
            <w:pPr>
              <w:pStyle w:val="ListParagraph"/>
              <w:numPr>
                <w:ilvl w:val="0"/>
                <w:numId w:val="6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9960DB">
              <w:rPr>
                <w:rFonts w:ascii="Verdana" w:hAnsi="Verdana"/>
              </w:rPr>
              <w:t>Functional Specification - Design Qualification (DQ) and others relevant document</w:t>
            </w:r>
          </w:p>
        </w:tc>
        <w:tc>
          <w:tcPr>
            <w:tcW w:w="1687" w:type="dxa"/>
          </w:tcPr>
          <w:p w14:paraId="58916EFB" w14:textId="415CA72C" w:rsidR="00844F57" w:rsidRPr="009960DB" w:rsidRDefault="00686CC5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283" w:type="dxa"/>
          </w:tcPr>
          <w:p w14:paraId="5E5B6BF9" w14:textId="1A8615A2" w:rsidR="00844F57" w:rsidRPr="009960DB" w:rsidRDefault="00686CC5">
            <w:pPr>
              <w:rPr>
                <w:rFonts w:ascii="Verdana" w:hAnsi="Verdana"/>
              </w:rPr>
            </w:pPr>
            <w:r w:rsidRPr="009960DB">
              <w:rPr>
                <w:rFonts w:ascii="Verdana" w:hAnsi="Verdana"/>
              </w:rPr>
              <w:t>1</w:t>
            </w:r>
          </w:p>
        </w:tc>
      </w:tr>
    </w:tbl>
    <w:p w14:paraId="37F8A7C6" w14:textId="77777777" w:rsidR="00844F57" w:rsidRPr="009960DB" w:rsidRDefault="00844F57">
      <w:pPr>
        <w:rPr>
          <w:rFonts w:ascii="Verdana" w:hAnsi="Verdana"/>
        </w:rPr>
      </w:pPr>
    </w:p>
    <w:sectPr w:rsidR="00844F57" w:rsidRPr="009960DB" w:rsidSect="00844F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73A8"/>
    <w:multiLevelType w:val="multilevel"/>
    <w:tmpl w:val="9B62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63A5D"/>
    <w:multiLevelType w:val="multilevel"/>
    <w:tmpl w:val="950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64248"/>
    <w:multiLevelType w:val="multilevel"/>
    <w:tmpl w:val="234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608D3"/>
    <w:multiLevelType w:val="multilevel"/>
    <w:tmpl w:val="5D32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796D94"/>
    <w:multiLevelType w:val="multilevel"/>
    <w:tmpl w:val="2DB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36582">
    <w:abstractNumId w:val="3"/>
  </w:num>
  <w:num w:numId="2" w16cid:durableId="653027860">
    <w:abstractNumId w:val="0"/>
  </w:num>
  <w:num w:numId="3" w16cid:durableId="1379739809">
    <w:abstractNumId w:val="1"/>
  </w:num>
  <w:num w:numId="4" w16cid:durableId="1895653529">
    <w:abstractNumId w:val="5"/>
  </w:num>
  <w:num w:numId="5" w16cid:durableId="295985746">
    <w:abstractNumId w:val="2"/>
  </w:num>
  <w:num w:numId="6" w16cid:durableId="156991909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57"/>
    <w:rsid w:val="0013421B"/>
    <w:rsid w:val="00686CC5"/>
    <w:rsid w:val="00702EAC"/>
    <w:rsid w:val="00844F57"/>
    <w:rsid w:val="009960DB"/>
    <w:rsid w:val="009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5B69"/>
  <w15:chartTrackingRefBased/>
  <w15:docId w15:val="{8BAA92F0-A543-4957-A00F-5CF72409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0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2022-09-01T13:18:00Z</dcterms:created>
  <dcterms:modified xsi:type="dcterms:W3CDTF">2022-09-01T13:41:00Z</dcterms:modified>
</cp:coreProperties>
</file>