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923" w:type="dxa"/>
        <w:tblLook w:val="04A0" w:firstRow="1" w:lastRow="0" w:firstColumn="1" w:lastColumn="0" w:noHBand="0" w:noVBand="1"/>
      </w:tblPr>
      <w:tblGrid>
        <w:gridCol w:w="1224"/>
        <w:gridCol w:w="3017"/>
        <w:gridCol w:w="7339"/>
        <w:gridCol w:w="1897"/>
        <w:gridCol w:w="1283"/>
      </w:tblGrid>
      <w:tr w:rsidR="001A1DF8" w14:paraId="4D00289C" w14:textId="77777777" w:rsidTr="001A1DF8">
        <w:tc>
          <w:tcPr>
            <w:tcW w:w="126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359765B0" w14:textId="2A58E178" w:rsidR="001A1DF8" w:rsidRPr="00137B2F" w:rsidRDefault="001A1DF8" w:rsidP="001A1DF8">
            <w:pPr>
              <w:rPr>
                <w:rFonts w:ascii="Verdana" w:hAnsi="Verdana"/>
              </w:rPr>
            </w:pPr>
            <w:r w:rsidRPr="00137B2F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15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0C24E396" w14:textId="2ECE810D" w:rsidR="001A1DF8" w:rsidRPr="00137B2F" w:rsidRDefault="001A1DF8" w:rsidP="001A1DF8">
            <w:pPr>
              <w:rPr>
                <w:rFonts w:ascii="Verdana" w:hAnsi="Verdana"/>
              </w:rPr>
            </w:pPr>
            <w:r w:rsidRPr="00137B2F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74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7E3BB260" w14:textId="43399C00" w:rsidR="001A1DF8" w:rsidRPr="00137B2F" w:rsidRDefault="001A1DF8" w:rsidP="001A1DF8">
            <w:pPr>
              <w:rPr>
                <w:rFonts w:ascii="Verdana" w:hAnsi="Verdana"/>
              </w:rPr>
            </w:pPr>
            <w:r w:rsidRPr="00137B2F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3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4228265" w14:textId="77777777" w:rsidR="001A1DF8" w:rsidRPr="00137B2F" w:rsidRDefault="001A1DF8" w:rsidP="001A1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137B2F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5337189E" w14:textId="0AF120BB" w:rsidR="001A1DF8" w:rsidRPr="00137B2F" w:rsidRDefault="001A1DF8" w:rsidP="001A1DF8">
            <w:pPr>
              <w:rPr>
                <w:rFonts w:ascii="Verdana" w:hAnsi="Verdana"/>
              </w:rPr>
            </w:pPr>
            <w:r w:rsidRPr="00137B2F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03B8361A" w14:textId="5F8156B6" w:rsidR="001A1DF8" w:rsidRPr="00137B2F" w:rsidRDefault="001A1DF8" w:rsidP="001A1DF8">
            <w:pPr>
              <w:rPr>
                <w:rFonts w:ascii="Verdana" w:hAnsi="Verdana"/>
              </w:rPr>
            </w:pPr>
            <w:r w:rsidRPr="00137B2F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1A1DF8" w14:paraId="2198C7CB" w14:textId="77777777" w:rsidTr="001A1DF8">
        <w:tc>
          <w:tcPr>
            <w:tcW w:w="1260" w:type="dxa"/>
          </w:tcPr>
          <w:p w14:paraId="1A22C61C" w14:textId="3DEA8917" w:rsidR="001A1DF8" w:rsidRPr="00137B2F" w:rsidRDefault="001A1DF8">
            <w:pPr>
              <w:rPr>
                <w:rFonts w:ascii="Verdana" w:hAnsi="Verdana"/>
              </w:rPr>
            </w:pPr>
            <w:r w:rsidRPr="00137B2F">
              <w:rPr>
                <w:rFonts w:ascii="Verdana" w:hAnsi="Verdana"/>
              </w:rPr>
              <w:t>1</w:t>
            </w:r>
          </w:p>
        </w:tc>
        <w:tc>
          <w:tcPr>
            <w:tcW w:w="3150" w:type="dxa"/>
          </w:tcPr>
          <w:p w14:paraId="4316E70E" w14:textId="2B20F1E3" w:rsidR="001A1DF8" w:rsidRPr="00137B2F" w:rsidRDefault="001A1DF8">
            <w:pPr>
              <w:rPr>
                <w:rFonts w:ascii="Verdana" w:hAnsi="Verdana"/>
              </w:rPr>
            </w:pPr>
            <w:r w:rsidRPr="00137B2F">
              <w:rPr>
                <w:rFonts w:ascii="Verdana" w:hAnsi="Verdana"/>
              </w:rPr>
              <w:t>PRECISION BALANCES</w:t>
            </w:r>
          </w:p>
        </w:tc>
        <w:tc>
          <w:tcPr>
            <w:tcW w:w="7740" w:type="dxa"/>
          </w:tcPr>
          <w:p w14:paraId="45F5E396" w14:textId="77777777" w:rsidR="001A1DF8" w:rsidRPr="00137B2F" w:rsidRDefault="001A1DF8" w:rsidP="001A1DF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137B2F">
              <w:rPr>
                <w:rFonts w:ascii="Verdana" w:hAnsi="Verdana"/>
                <w:b/>
                <w:bCs/>
                <w:color w:val="2E74B5" w:themeColor="accent5" w:themeShade="BF"/>
              </w:rPr>
              <w:t>Applications</w:t>
            </w:r>
          </w:p>
          <w:p w14:paraId="7262C51A" w14:textId="05C9FF51" w:rsidR="001A1DF8" w:rsidRPr="00137B2F" w:rsidRDefault="001A1DF8" w:rsidP="001A1DF8">
            <w:pPr>
              <w:rPr>
                <w:rFonts w:ascii="Verdana" w:hAnsi="Verdana"/>
              </w:rPr>
            </w:pPr>
            <w:r w:rsidRPr="00137B2F">
              <w:rPr>
                <w:rFonts w:ascii="Verdana" w:hAnsi="Verdana"/>
              </w:rPr>
              <w:t xml:space="preserve">Weighing, Parts Counting, Percent Weighing, </w:t>
            </w:r>
            <w:r w:rsidR="00137B2F" w:rsidRPr="00137B2F">
              <w:rPr>
                <w:rFonts w:ascii="Verdana" w:hAnsi="Verdana"/>
              </w:rPr>
              <w:t>Check weighing</w:t>
            </w:r>
            <w:r w:rsidRPr="00137B2F">
              <w:rPr>
                <w:rFonts w:ascii="Verdana" w:hAnsi="Verdana"/>
              </w:rPr>
              <w:t>, Animal/Dynamic Weighing, Totalization/Statistics, Formulation, Density Determination, Display Hold</w:t>
            </w:r>
          </w:p>
          <w:p w14:paraId="4C1AF089" w14:textId="6B0F3372" w:rsidR="001A1DF8" w:rsidRPr="00137B2F" w:rsidRDefault="001A1DF8" w:rsidP="001A1DF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137B2F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4135889C" w14:textId="64294F19" w:rsidR="00137B2F" w:rsidRPr="00137B2F" w:rsidRDefault="00137B2F" w:rsidP="001A1DF8">
            <w:pPr>
              <w:rPr>
                <w:rFonts w:ascii="Verdana" w:hAnsi="Verdana"/>
              </w:rPr>
            </w:pPr>
            <w:r w:rsidRPr="00137B2F">
              <w:rPr>
                <w:rFonts w:ascii="Verdana" w:hAnsi="Verdana"/>
              </w:rPr>
              <w:t xml:space="preserve">Durable construction, large weighing surfaces, a space-saving </w:t>
            </w:r>
            <w:r w:rsidR="00753519" w:rsidRPr="00137B2F">
              <w:rPr>
                <w:rFonts w:ascii="Verdana" w:hAnsi="Verdana"/>
              </w:rPr>
              <w:t>draft shield</w:t>
            </w:r>
            <w:r w:rsidRPr="00137B2F">
              <w:rPr>
                <w:rFonts w:ascii="Verdana" w:hAnsi="Verdana"/>
              </w:rPr>
              <w:t xml:space="preserve"> design, and full housing in-use cover allow for use in lab, education and industrial environments.</w:t>
            </w:r>
          </w:p>
          <w:p w14:paraId="2651DBBD" w14:textId="196C91F0" w:rsidR="0055670D" w:rsidRPr="00137B2F" w:rsidRDefault="0055670D" w:rsidP="001A1DF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137B2F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028AD148" w14:textId="2138C223" w:rsidR="0055670D" w:rsidRPr="0055670D" w:rsidRDefault="0055670D" w:rsidP="0055670D">
            <w:pPr>
              <w:rPr>
                <w:rFonts w:ascii="Verdana" w:hAnsi="Verdana"/>
              </w:rPr>
            </w:pPr>
            <w:r w:rsidRPr="0055670D">
              <w:rPr>
                <w:rFonts w:ascii="Verdana" w:hAnsi="Verdana"/>
              </w:rPr>
              <w:t>Maximum Capacity</w:t>
            </w:r>
            <w:r w:rsidR="00137B2F" w:rsidRPr="00137B2F">
              <w:rPr>
                <w:rFonts w:ascii="Verdana" w:hAnsi="Verdana"/>
              </w:rPr>
              <w:t xml:space="preserve">: </w:t>
            </w:r>
            <w:r w:rsidRPr="0055670D">
              <w:rPr>
                <w:rFonts w:ascii="Verdana" w:hAnsi="Verdana"/>
              </w:rPr>
              <w:t>220 g</w:t>
            </w:r>
          </w:p>
          <w:p w14:paraId="6A977C9D" w14:textId="639D5632" w:rsidR="0055670D" w:rsidRPr="00137B2F" w:rsidRDefault="0055670D" w:rsidP="001A1DF8">
            <w:pPr>
              <w:rPr>
                <w:rFonts w:ascii="Verdana" w:hAnsi="Verdana"/>
              </w:rPr>
            </w:pPr>
            <w:r w:rsidRPr="0055670D">
              <w:rPr>
                <w:rFonts w:ascii="Verdana" w:hAnsi="Verdana"/>
              </w:rPr>
              <w:t>Readability</w:t>
            </w:r>
            <w:r w:rsidR="00137B2F" w:rsidRPr="00137B2F">
              <w:rPr>
                <w:rFonts w:ascii="Verdana" w:hAnsi="Verdana"/>
              </w:rPr>
              <w:t xml:space="preserve">: </w:t>
            </w:r>
            <w:r w:rsidRPr="0055670D">
              <w:rPr>
                <w:rFonts w:ascii="Verdana" w:hAnsi="Verdana"/>
              </w:rPr>
              <w:t>1 mg</w:t>
            </w:r>
          </w:p>
          <w:p w14:paraId="064FD91C" w14:textId="419D7CD6" w:rsidR="001A1DF8" w:rsidRPr="001A1DF8" w:rsidRDefault="001A1DF8" w:rsidP="001A1DF8">
            <w:pPr>
              <w:rPr>
                <w:rFonts w:ascii="Verdana" w:hAnsi="Verdana"/>
              </w:rPr>
            </w:pPr>
            <w:r w:rsidRPr="001A1DF8">
              <w:rPr>
                <w:rFonts w:ascii="Verdana" w:hAnsi="Verdana"/>
              </w:rPr>
              <w:t>Display</w:t>
            </w:r>
            <w:r w:rsidR="00137B2F" w:rsidRPr="00137B2F">
              <w:rPr>
                <w:rFonts w:ascii="Verdana" w:hAnsi="Verdana"/>
              </w:rPr>
              <w:t xml:space="preserve">: </w:t>
            </w:r>
            <w:r w:rsidRPr="001A1DF8">
              <w:rPr>
                <w:rFonts w:ascii="Verdana" w:hAnsi="Verdana"/>
              </w:rPr>
              <w:t>4.3" (109 mm) Full-color VGA graphic touchscreen with user-controlled brightness</w:t>
            </w:r>
          </w:p>
          <w:p w14:paraId="3FA095D3" w14:textId="4A91F5E5" w:rsidR="001A1DF8" w:rsidRPr="001A1DF8" w:rsidRDefault="001A1DF8" w:rsidP="001A1DF8">
            <w:pPr>
              <w:rPr>
                <w:rFonts w:ascii="Verdana" w:hAnsi="Verdana"/>
              </w:rPr>
            </w:pPr>
            <w:r w:rsidRPr="001A1DF8">
              <w:rPr>
                <w:rFonts w:ascii="Verdana" w:hAnsi="Verdana"/>
              </w:rPr>
              <w:t>Operation</w:t>
            </w:r>
            <w:r w:rsidR="00137B2F" w:rsidRPr="00137B2F">
              <w:rPr>
                <w:rFonts w:ascii="Verdana" w:hAnsi="Verdana"/>
              </w:rPr>
              <w:t xml:space="preserve">: </w:t>
            </w:r>
            <w:r w:rsidRPr="001A1DF8">
              <w:rPr>
                <w:rFonts w:ascii="Verdana" w:hAnsi="Verdana"/>
              </w:rPr>
              <w:t>AC adapter (included)</w:t>
            </w:r>
          </w:p>
          <w:p w14:paraId="411954DC" w14:textId="6E26CF56" w:rsidR="001A1DF8" w:rsidRPr="001A1DF8" w:rsidRDefault="001A1DF8" w:rsidP="001A1DF8">
            <w:pPr>
              <w:rPr>
                <w:rFonts w:ascii="Verdana" w:hAnsi="Verdana"/>
              </w:rPr>
            </w:pPr>
            <w:r w:rsidRPr="001A1DF8">
              <w:rPr>
                <w:rFonts w:ascii="Verdana" w:hAnsi="Verdana"/>
              </w:rPr>
              <w:t>Communication</w:t>
            </w:r>
            <w:r w:rsidR="00137B2F" w:rsidRPr="00137B2F">
              <w:rPr>
                <w:rFonts w:ascii="Verdana" w:hAnsi="Verdana"/>
              </w:rPr>
              <w:t xml:space="preserve">: </w:t>
            </w:r>
            <w:r w:rsidRPr="001A1DF8">
              <w:rPr>
                <w:rFonts w:ascii="Verdana" w:hAnsi="Verdana"/>
              </w:rPr>
              <w:t>RS232, USB Host, USB Device (included). GLP/GMP data output with real-time clock.</w:t>
            </w:r>
          </w:p>
          <w:p w14:paraId="45769798" w14:textId="04D35B61" w:rsidR="001A1DF8" w:rsidRPr="001A1DF8" w:rsidRDefault="001A1DF8" w:rsidP="001A1DF8">
            <w:pPr>
              <w:rPr>
                <w:rFonts w:ascii="Verdana" w:hAnsi="Verdana"/>
                <w:b/>
                <w:bCs/>
              </w:rPr>
            </w:pPr>
            <w:r w:rsidRPr="001A1DF8">
              <w:rPr>
                <w:rFonts w:ascii="Verdana" w:hAnsi="Verdana"/>
              </w:rPr>
              <w:t>Construction</w:t>
            </w:r>
            <w:r w:rsidR="00137B2F">
              <w:rPr>
                <w:rFonts w:ascii="Verdana" w:hAnsi="Verdana"/>
                <w:b/>
                <w:bCs/>
              </w:rPr>
              <w:t xml:space="preserve">: </w:t>
            </w:r>
            <w:r w:rsidRPr="001A1DF8">
              <w:rPr>
                <w:rFonts w:ascii="Verdana" w:hAnsi="Verdana"/>
              </w:rPr>
              <w:t xml:space="preserve">Metal base, ABS top housing, stainless steel pan, glass </w:t>
            </w:r>
            <w:r w:rsidR="00137B2F" w:rsidRPr="001A1DF8">
              <w:rPr>
                <w:rFonts w:ascii="Verdana" w:hAnsi="Verdana"/>
              </w:rPr>
              <w:t>draft shield</w:t>
            </w:r>
            <w:r w:rsidRPr="001A1DF8">
              <w:rPr>
                <w:rFonts w:ascii="Verdana" w:hAnsi="Verdana"/>
              </w:rPr>
              <w:t xml:space="preserve"> with 2-piece top mounted side doors &amp; sliding top door (1mg models only), illuminated up-front level indicator, weigh below hook, security bracket, calibration lock, full housing in-use cover</w:t>
            </w:r>
          </w:p>
          <w:p w14:paraId="4B1E8DE1" w14:textId="77777777" w:rsidR="00137B2F" w:rsidRPr="00137B2F" w:rsidRDefault="00137B2F" w:rsidP="00137B2F">
            <w:pPr>
              <w:rPr>
                <w:rFonts w:ascii="Verdana" w:hAnsi="Verdana"/>
                <w:b/>
                <w:color w:val="2E74B5" w:themeColor="accent5" w:themeShade="BF"/>
              </w:rPr>
            </w:pPr>
            <w:r w:rsidRPr="00137B2F">
              <w:rPr>
                <w:rFonts w:ascii="Verdana" w:hAnsi="Verdana"/>
                <w:b/>
                <w:color w:val="2E74B5" w:themeColor="accent5" w:themeShade="BF"/>
              </w:rPr>
              <w:t>Documentation:</w:t>
            </w:r>
          </w:p>
          <w:p w14:paraId="6E35BF1C" w14:textId="77777777" w:rsidR="00137B2F" w:rsidRPr="00137B2F" w:rsidRDefault="00137B2F" w:rsidP="00137B2F">
            <w:pPr>
              <w:pStyle w:val="ListParagraph"/>
              <w:numPr>
                <w:ilvl w:val="0"/>
                <w:numId w:val="1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137B2F">
              <w:rPr>
                <w:rFonts w:ascii="Verdana" w:hAnsi="Verdana"/>
                <w:sz w:val="22"/>
                <w:szCs w:val="22"/>
              </w:rPr>
              <w:t>CE marking and declaration conformity</w:t>
            </w:r>
          </w:p>
          <w:p w14:paraId="20209C55" w14:textId="77777777" w:rsidR="00137B2F" w:rsidRPr="00137B2F" w:rsidRDefault="00137B2F" w:rsidP="00137B2F">
            <w:pPr>
              <w:pStyle w:val="ListParagraph"/>
              <w:numPr>
                <w:ilvl w:val="0"/>
                <w:numId w:val="1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137B2F">
              <w:rPr>
                <w:rFonts w:ascii="Verdana" w:hAnsi="Verdana"/>
                <w:sz w:val="22"/>
                <w:szCs w:val="22"/>
              </w:rPr>
              <w:t>Documents for the Installation and Operational Qualification (IQ / OQ)</w:t>
            </w:r>
          </w:p>
          <w:p w14:paraId="60AAD77B" w14:textId="2066BAFF" w:rsidR="001A1DF8" w:rsidRPr="00137B2F" w:rsidRDefault="00137B2F" w:rsidP="00137B2F">
            <w:pPr>
              <w:pStyle w:val="ListParagraph"/>
              <w:numPr>
                <w:ilvl w:val="0"/>
                <w:numId w:val="1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137B2F">
              <w:rPr>
                <w:rFonts w:ascii="Verdana" w:hAnsi="Verdana"/>
                <w:sz w:val="22"/>
                <w:szCs w:val="22"/>
              </w:rPr>
              <w:t>Functional Specification - Design Qualification (DQ) and others relevant document</w:t>
            </w:r>
          </w:p>
        </w:tc>
        <w:tc>
          <w:tcPr>
            <w:tcW w:w="1350" w:type="dxa"/>
          </w:tcPr>
          <w:p w14:paraId="151969E5" w14:textId="06621320" w:rsidR="001A1DF8" w:rsidRPr="00137B2F" w:rsidRDefault="001A1DF8">
            <w:pPr>
              <w:rPr>
                <w:rFonts w:ascii="Verdana" w:hAnsi="Verdana"/>
              </w:rPr>
            </w:pPr>
            <w:r w:rsidRPr="00137B2F">
              <w:rPr>
                <w:rFonts w:ascii="Verdana" w:hAnsi="Verdana"/>
              </w:rPr>
              <w:t>Pcs</w:t>
            </w:r>
          </w:p>
        </w:tc>
        <w:tc>
          <w:tcPr>
            <w:tcW w:w="1260" w:type="dxa"/>
          </w:tcPr>
          <w:p w14:paraId="0B00325D" w14:textId="7B846DAA" w:rsidR="001A1DF8" w:rsidRPr="00137B2F" w:rsidRDefault="001A1DF8">
            <w:pPr>
              <w:rPr>
                <w:rFonts w:ascii="Verdana" w:hAnsi="Verdana"/>
              </w:rPr>
            </w:pPr>
            <w:r w:rsidRPr="00137B2F">
              <w:rPr>
                <w:rFonts w:ascii="Verdana" w:hAnsi="Verdana"/>
              </w:rPr>
              <w:t>1</w:t>
            </w:r>
          </w:p>
        </w:tc>
      </w:tr>
    </w:tbl>
    <w:p w14:paraId="4D6D175C" w14:textId="77777777" w:rsidR="005C6111" w:rsidRDefault="005C6111"/>
    <w:sectPr w:rsidR="005C6111" w:rsidSect="001A1D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56827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11"/>
    <w:rsid w:val="00137B2F"/>
    <w:rsid w:val="001A1DF8"/>
    <w:rsid w:val="003F6E06"/>
    <w:rsid w:val="0055670D"/>
    <w:rsid w:val="005C6111"/>
    <w:rsid w:val="0075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EA499"/>
  <w15:chartTrackingRefBased/>
  <w15:docId w15:val="{1758BD53-C6CD-44AF-8B74-92317043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7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4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3</cp:revision>
  <dcterms:created xsi:type="dcterms:W3CDTF">2022-09-02T00:29:00Z</dcterms:created>
  <dcterms:modified xsi:type="dcterms:W3CDTF">2022-09-02T00:45:00Z</dcterms:modified>
</cp:coreProperties>
</file>