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70" w:type="dxa"/>
        <w:tblInd w:w="-833" w:type="dxa"/>
        <w:tblLook w:val="04A0" w:firstRow="1" w:lastRow="0" w:firstColumn="1" w:lastColumn="0" w:noHBand="0" w:noVBand="1"/>
      </w:tblPr>
      <w:tblGrid>
        <w:gridCol w:w="1440"/>
        <w:gridCol w:w="3115"/>
        <w:gridCol w:w="6245"/>
        <w:gridCol w:w="2070"/>
        <w:gridCol w:w="1800"/>
      </w:tblGrid>
      <w:tr w:rsidR="005B1CA8" w14:paraId="0869A850" w14:textId="77777777" w:rsidTr="005B1CA8">
        <w:tc>
          <w:tcPr>
            <w:tcW w:w="1440" w:type="dxa"/>
            <w:tcBorders>
              <w:top w:val="double" w:sz="6" w:space="0" w:color="auto"/>
              <w:left w:val="double" w:sz="6" w:space="0" w:color="auto"/>
              <w:right w:val="single" w:sz="4" w:space="0" w:color="auto"/>
            </w:tcBorders>
            <w:shd w:val="clear" w:color="auto" w:fill="E7E6E6"/>
            <w:vAlign w:val="center"/>
          </w:tcPr>
          <w:p w14:paraId="136C1B6B" w14:textId="551B5252" w:rsidR="005B1CA8" w:rsidRPr="00BD3943" w:rsidRDefault="005B1CA8" w:rsidP="005B1CA8">
            <w:pPr>
              <w:rPr>
                <w:rFonts w:ascii="Verdana" w:hAnsi="Verdana"/>
              </w:rPr>
            </w:pPr>
            <w:r w:rsidRPr="00BD3943">
              <w:rPr>
                <w:rFonts w:ascii="Verdana" w:hAnsi="Verdana"/>
                <w:b/>
                <w:iCs/>
                <w:color w:val="000000"/>
                <w:lang w:val="en-GB" w:eastAsia="en-GB"/>
              </w:rPr>
              <w:t>Item No</w:t>
            </w:r>
          </w:p>
        </w:tc>
        <w:tc>
          <w:tcPr>
            <w:tcW w:w="3115" w:type="dxa"/>
            <w:tcBorders>
              <w:top w:val="double" w:sz="6" w:space="0" w:color="auto"/>
              <w:left w:val="single" w:sz="4" w:space="0" w:color="auto"/>
              <w:right w:val="single" w:sz="4" w:space="0" w:color="auto"/>
            </w:tcBorders>
            <w:shd w:val="clear" w:color="auto" w:fill="E7E6E6"/>
            <w:vAlign w:val="center"/>
          </w:tcPr>
          <w:p w14:paraId="35648102" w14:textId="6BA49846" w:rsidR="005B1CA8" w:rsidRPr="00BD3943" w:rsidRDefault="005B1CA8" w:rsidP="005B1CA8">
            <w:pPr>
              <w:rPr>
                <w:rFonts w:ascii="Verdana" w:hAnsi="Verdana"/>
              </w:rPr>
            </w:pPr>
            <w:r w:rsidRPr="00BD3943">
              <w:rPr>
                <w:rFonts w:ascii="Verdana" w:hAnsi="Verdana"/>
                <w:b/>
                <w:iCs/>
                <w:color w:val="000000"/>
                <w:lang w:val="en-GB" w:eastAsia="en-GB"/>
              </w:rPr>
              <w:t>Item Name</w:t>
            </w:r>
          </w:p>
        </w:tc>
        <w:tc>
          <w:tcPr>
            <w:tcW w:w="6245" w:type="dxa"/>
            <w:tcBorders>
              <w:top w:val="double" w:sz="6" w:space="0" w:color="auto"/>
              <w:left w:val="single" w:sz="4" w:space="0" w:color="auto"/>
              <w:right w:val="single" w:sz="4" w:space="0" w:color="auto"/>
            </w:tcBorders>
            <w:shd w:val="clear" w:color="auto" w:fill="E7E6E6"/>
            <w:vAlign w:val="center"/>
          </w:tcPr>
          <w:p w14:paraId="6BB5F8D9" w14:textId="2472A287" w:rsidR="005B1CA8" w:rsidRPr="00BD3943" w:rsidRDefault="005B1CA8" w:rsidP="005B1CA8">
            <w:pPr>
              <w:rPr>
                <w:rFonts w:ascii="Verdana" w:hAnsi="Verdana"/>
              </w:rPr>
            </w:pPr>
            <w:r w:rsidRPr="00BD3943">
              <w:rPr>
                <w:rFonts w:ascii="Verdana" w:hAnsi="Verdana"/>
                <w:b/>
                <w:iCs/>
                <w:color w:val="000000"/>
                <w:lang w:val="en-GB" w:eastAsia="en-GB"/>
              </w:rPr>
              <w:t>Technical Specifications</w:t>
            </w:r>
          </w:p>
        </w:tc>
        <w:tc>
          <w:tcPr>
            <w:tcW w:w="2070" w:type="dxa"/>
            <w:tcBorders>
              <w:top w:val="double" w:sz="6" w:space="0" w:color="auto"/>
              <w:left w:val="single" w:sz="4" w:space="0" w:color="auto"/>
              <w:bottom w:val="single" w:sz="4" w:space="0" w:color="auto"/>
              <w:right w:val="single" w:sz="4" w:space="0" w:color="auto"/>
            </w:tcBorders>
            <w:shd w:val="clear" w:color="auto" w:fill="E7E6E6"/>
            <w:vAlign w:val="center"/>
          </w:tcPr>
          <w:p w14:paraId="5CD1DA80" w14:textId="77777777" w:rsidR="005B1CA8" w:rsidRPr="00BD3943" w:rsidRDefault="005B1CA8" w:rsidP="005B1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iCs/>
                <w:color w:val="000000"/>
                <w:lang w:val="en-GB" w:eastAsia="en-GB"/>
              </w:rPr>
            </w:pPr>
            <w:r w:rsidRPr="00BD3943">
              <w:rPr>
                <w:rFonts w:ascii="Verdana" w:hAnsi="Verdana"/>
                <w:b/>
                <w:iCs/>
                <w:color w:val="000000"/>
                <w:lang w:val="en-GB" w:eastAsia="en-GB"/>
              </w:rPr>
              <w:t xml:space="preserve">Unit of </w:t>
            </w:r>
          </w:p>
          <w:p w14:paraId="3F1895D7" w14:textId="79B848F2" w:rsidR="005B1CA8" w:rsidRPr="00BD3943" w:rsidRDefault="005B1CA8" w:rsidP="005B1CA8">
            <w:pPr>
              <w:rPr>
                <w:rFonts w:ascii="Verdana" w:hAnsi="Verdana"/>
              </w:rPr>
            </w:pPr>
            <w:r w:rsidRPr="00BD3943">
              <w:rPr>
                <w:rFonts w:ascii="Verdana" w:hAnsi="Verdana"/>
                <w:b/>
                <w:iCs/>
                <w:color w:val="000000"/>
                <w:lang w:val="en-GB" w:eastAsia="en-GB"/>
              </w:rPr>
              <w:t>Measurement</w:t>
            </w:r>
          </w:p>
        </w:tc>
        <w:tc>
          <w:tcPr>
            <w:tcW w:w="1800" w:type="dxa"/>
            <w:tcBorders>
              <w:top w:val="double" w:sz="6" w:space="0" w:color="auto"/>
              <w:left w:val="single" w:sz="4" w:space="0" w:color="auto"/>
              <w:bottom w:val="single" w:sz="4" w:space="0" w:color="auto"/>
              <w:right w:val="double" w:sz="6" w:space="0" w:color="auto"/>
            </w:tcBorders>
            <w:shd w:val="clear" w:color="auto" w:fill="E7E6E6"/>
            <w:vAlign w:val="center"/>
          </w:tcPr>
          <w:p w14:paraId="2D39406F" w14:textId="2DD3740F" w:rsidR="005B1CA8" w:rsidRPr="00BD3943" w:rsidRDefault="005B1CA8" w:rsidP="005B1CA8">
            <w:pPr>
              <w:rPr>
                <w:rFonts w:ascii="Verdana" w:hAnsi="Verdana"/>
              </w:rPr>
            </w:pPr>
            <w:r w:rsidRPr="00BD3943">
              <w:rPr>
                <w:rFonts w:ascii="Verdana" w:hAnsi="Verdana"/>
                <w:b/>
                <w:iCs/>
                <w:color w:val="000000"/>
                <w:lang w:val="en-GB" w:eastAsia="en-GB"/>
              </w:rPr>
              <w:t>Quantity</w:t>
            </w:r>
          </w:p>
        </w:tc>
      </w:tr>
      <w:tr w:rsidR="005B1CA8" w14:paraId="385F9F6B" w14:textId="77777777" w:rsidTr="005B1CA8">
        <w:tc>
          <w:tcPr>
            <w:tcW w:w="1440" w:type="dxa"/>
          </w:tcPr>
          <w:p w14:paraId="586AAB33" w14:textId="14320A07" w:rsidR="005B1CA8" w:rsidRPr="00BD3943" w:rsidRDefault="005B1CA8">
            <w:pPr>
              <w:rPr>
                <w:rFonts w:ascii="Verdana" w:hAnsi="Verdana"/>
              </w:rPr>
            </w:pPr>
            <w:r w:rsidRPr="00BD3943">
              <w:rPr>
                <w:rFonts w:ascii="Verdana" w:hAnsi="Verdana"/>
              </w:rPr>
              <w:t>1</w:t>
            </w:r>
          </w:p>
        </w:tc>
        <w:tc>
          <w:tcPr>
            <w:tcW w:w="3115" w:type="dxa"/>
          </w:tcPr>
          <w:p w14:paraId="0F36AED4" w14:textId="1F408B81" w:rsidR="005B1CA8" w:rsidRPr="00BD3943" w:rsidRDefault="005B1CA8">
            <w:pPr>
              <w:rPr>
                <w:rFonts w:ascii="Verdana" w:hAnsi="Verdana"/>
              </w:rPr>
            </w:pPr>
            <w:r w:rsidRPr="00BD3943">
              <w:rPr>
                <w:rFonts w:ascii="Verdana" w:hAnsi="Verdana"/>
              </w:rPr>
              <w:t>OXYGEN / HYDROGEN ANALYZER</w:t>
            </w:r>
          </w:p>
        </w:tc>
        <w:tc>
          <w:tcPr>
            <w:tcW w:w="6245" w:type="dxa"/>
          </w:tcPr>
          <w:p w14:paraId="2BE72AE3" w14:textId="77777777" w:rsidR="005B1CA8" w:rsidRPr="00BD3943" w:rsidRDefault="005B1CA8">
            <w:pPr>
              <w:rPr>
                <w:rFonts w:ascii="Verdana" w:hAnsi="Verdana"/>
                <w:b/>
                <w:bCs/>
                <w:color w:val="2E74B5" w:themeColor="accent5" w:themeShade="BF"/>
              </w:rPr>
            </w:pPr>
            <w:r w:rsidRPr="00BD3943">
              <w:rPr>
                <w:rFonts w:ascii="Verdana" w:hAnsi="Verdana"/>
                <w:b/>
                <w:bCs/>
                <w:color w:val="2E74B5" w:themeColor="accent5" w:themeShade="BF"/>
              </w:rPr>
              <w:t>Description</w:t>
            </w:r>
          </w:p>
          <w:p w14:paraId="3D5B9AA0" w14:textId="77777777" w:rsidR="005B1CA8" w:rsidRPr="00BD3943" w:rsidRDefault="005B1CA8">
            <w:pPr>
              <w:rPr>
                <w:rFonts w:ascii="Verdana" w:hAnsi="Verdana"/>
              </w:rPr>
            </w:pPr>
            <w:r w:rsidRPr="00BD3943">
              <w:rPr>
                <w:rFonts w:ascii="Verdana" w:hAnsi="Verdana"/>
              </w:rPr>
              <w:t>powerful and robust elemental analyzer for measurement of oxygen and hydrogen concentrations in inorganic samples like steel, iron, copper or ceramics. The highly sensitive NDIR and thermal conductivity detectors reliably detect element concentrations from low ppm content to high percentages.</w:t>
            </w:r>
          </w:p>
          <w:p w14:paraId="37E533A9" w14:textId="77777777" w:rsidR="005B1CA8" w:rsidRPr="00BD3943" w:rsidRDefault="005B1CA8">
            <w:pPr>
              <w:rPr>
                <w:rFonts w:ascii="Verdana" w:hAnsi="Verdana"/>
                <w:b/>
                <w:bCs/>
                <w:color w:val="2E74B5" w:themeColor="accent5" w:themeShade="BF"/>
              </w:rPr>
            </w:pPr>
            <w:r w:rsidRPr="00BD3943">
              <w:rPr>
                <w:rFonts w:ascii="Verdana" w:hAnsi="Verdana"/>
                <w:b/>
                <w:bCs/>
                <w:color w:val="2E74B5" w:themeColor="accent5" w:themeShade="BF"/>
              </w:rPr>
              <w:t>Features</w:t>
            </w:r>
          </w:p>
          <w:p w14:paraId="405E571A" w14:textId="77777777" w:rsidR="005B1CA8" w:rsidRPr="005B1CA8" w:rsidRDefault="005B1CA8" w:rsidP="005B1CA8">
            <w:pPr>
              <w:numPr>
                <w:ilvl w:val="0"/>
                <w:numId w:val="1"/>
              </w:numPr>
              <w:rPr>
                <w:rFonts w:ascii="Verdana" w:hAnsi="Verdana"/>
              </w:rPr>
            </w:pPr>
            <w:r w:rsidRPr="005B1CA8">
              <w:rPr>
                <w:rFonts w:ascii="Verdana" w:hAnsi="Verdana"/>
              </w:rPr>
              <w:t>Low gas consumption and high sensitivity due to closed gas system</w:t>
            </w:r>
          </w:p>
          <w:p w14:paraId="7E406525" w14:textId="77777777" w:rsidR="005B1CA8" w:rsidRPr="005B1CA8" w:rsidRDefault="005B1CA8" w:rsidP="005B1CA8">
            <w:pPr>
              <w:numPr>
                <w:ilvl w:val="0"/>
                <w:numId w:val="1"/>
              </w:numPr>
              <w:rPr>
                <w:rFonts w:ascii="Verdana" w:hAnsi="Verdana"/>
              </w:rPr>
            </w:pPr>
            <w:r w:rsidRPr="005B1CA8">
              <w:rPr>
                <w:rFonts w:ascii="Verdana" w:hAnsi="Verdana"/>
              </w:rPr>
              <w:t>Easy application of pins, powders and granules</w:t>
            </w:r>
          </w:p>
          <w:p w14:paraId="07754171" w14:textId="77777777" w:rsidR="005B1CA8" w:rsidRPr="005B1CA8" w:rsidRDefault="005B1CA8" w:rsidP="005B1CA8">
            <w:pPr>
              <w:numPr>
                <w:ilvl w:val="0"/>
                <w:numId w:val="1"/>
              </w:numPr>
              <w:rPr>
                <w:rFonts w:ascii="Verdana" w:hAnsi="Verdana"/>
              </w:rPr>
            </w:pPr>
            <w:r w:rsidRPr="005B1CA8">
              <w:rPr>
                <w:rFonts w:ascii="Verdana" w:hAnsi="Verdana"/>
              </w:rPr>
              <w:t>Inexpensive argon as carrier gas possible</w:t>
            </w:r>
          </w:p>
          <w:p w14:paraId="385C4F6A" w14:textId="77777777" w:rsidR="005B1CA8" w:rsidRPr="005B1CA8" w:rsidRDefault="005B1CA8" w:rsidP="005B1CA8">
            <w:pPr>
              <w:numPr>
                <w:ilvl w:val="0"/>
                <w:numId w:val="1"/>
              </w:numPr>
              <w:rPr>
                <w:rFonts w:ascii="Verdana" w:hAnsi="Verdana"/>
              </w:rPr>
            </w:pPr>
            <w:r w:rsidRPr="005B1CA8">
              <w:rPr>
                <w:rFonts w:ascii="Verdana" w:hAnsi="Verdana"/>
              </w:rPr>
              <w:t>Short analysis time</w:t>
            </w:r>
          </w:p>
          <w:p w14:paraId="485F544C" w14:textId="77777777" w:rsidR="005B1CA8" w:rsidRPr="005B1CA8" w:rsidRDefault="005B1CA8" w:rsidP="005B1CA8">
            <w:pPr>
              <w:numPr>
                <w:ilvl w:val="0"/>
                <w:numId w:val="1"/>
              </w:numPr>
              <w:rPr>
                <w:rFonts w:ascii="Verdana" w:hAnsi="Verdana"/>
              </w:rPr>
            </w:pPr>
            <w:r w:rsidRPr="005B1CA8">
              <w:rPr>
                <w:rFonts w:ascii="Verdana" w:hAnsi="Verdana"/>
              </w:rPr>
              <w:t>Powerful impulse furnace with 8.5 kW</w:t>
            </w:r>
          </w:p>
          <w:p w14:paraId="0C31C9B2" w14:textId="09EE27E1" w:rsidR="005B1CA8" w:rsidRPr="005B1CA8" w:rsidRDefault="005B1CA8" w:rsidP="005B1CA8">
            <w:pPr>
              <w:numPr>
                <w:ilvl w:val="0"/>
                <w:numId w:val="1"/>
              </w:numPr>
              <w:rPr>
                <w:rFonts w:ascii="Verdana" w:hAnsi="Verdana"/>
              </w:rPr>
            </w:pPr>
            <w:r w:rsidRPr="005B1CA8">
              <w:rPr>
                <w:rFonts w:ascii="Verdana" w:hAnsi="Verdana"/>
              </w:rPr>
              <w:t>Optional Auto</w:t>
            </w:r>
            <w:r w:rsidR="00BD3943">
              <w:rPr>
                <w:rFonts w:ascii="Verdana" w:hAnsi="Verdana"/>
              </w:rPr>
              <w:t xml:space="preserve"> </w:t>
            </w:r>
            <w:r w:rsidRPr="005B1CA8">
              <w:rPr>
                <w:rFonts w:ascii="Verdana" w:hAnsi="Verdana"/>
              </w:rPr>
              <w:t>cleaner</w:t>
            </w:r>
          </w:p>
          <w:p w14:paraId="6D135C39" w14:textId="77777777" w:rsidR="005B1CA8" w:rsidRPr="005B1CA8" w:rsidRDefault="005B1CA8" w:rsidP="005B1CA8">
            <w:pPr>
              <w:numPr>
                <w:ilvl w:val="0"/>
                <w:numId w:val="1"/>
              </w:numPr>
              <w:rPr>
                <w:rFonts w:ascii="Verdana" w:hAnsi="Verdana"/>
              </w:rPr>
            </w:pPr>
            <w:r w:rsidRPr="005B1CA8">
              <w:rPr>
                <w:rFonts w:ascii="Verdana" w:hAnsi="Verdana"/>
              </w:rPr>
              <w:t>Reliable OH elemental analysis of inorganic materials like steel, non-ferrous metals, ceramics, slags, ores, etc.</w:t>
            </w:r>
          </w:p>
          <w:p w14:paraId="49AD81AF" w14:textId="77777777" w:rsidR="005B1CA8" w:rsidRPr="00BD3943" w:rsidRDefault="005B1CA8">
            <w:pPr>
              <w:rPr>
                <w:rFonts w:ascii="Verdana" w:hAnsi="Verdana"/>
                <w:b/>
                <w:bCs/>
                <w:color w:val="2E74B5" w:themeColor="accent5" w:themeShade="BF"/>
              </w:rPr>
            </w:pPr>
            <w:r w:rsidRPr="00BD3943">
              <w:rPr>
                <w:rFonts w:ascii="Verdana" w:hAnsi="Verdana"/>
                <w:b/>
                <w:bCs/>
                <w:color w:val="2E74B5" w:themeColor="accent5" w:themeShade="BF"/>
              </w:rPr>
              <w:t>Technical Data</w:t>
            </w:r>
          </w:p>
          <w:p w14:paraId="779E4409" w14:textId="77777777" w:rsidR="005B1CA8" w:rsidRPr="00BD3943" w:rsidRDefault="005B1CA8" w:rsidP="005B1CA8">
            <w:pPr>
              <w:rPr>
                <w:rFonts w:ascii="Verdana" w:hAnsi="Verdana"/>
              </w:rPr>
            </w:pPr>
            <w:r w:rsidRPr="00BD3943">
              <w:rPr>
                <w:rFonts w:ascii="Verdana" w:hAnsi="Verdana"/>
              </w:rPr>
              <w:t>Measured elements</w:t>
            </w:r>
            <w:r w:rsidRPr="00BD3943">
              <w:rPr>
                <w:rFonts w:ascii="Verdana" w:hAnsi="Verdana"/>
              </w:rPr>
              <w:tab/>
              <w:t>hydrogen, oxygen</w:t>
            </w:r>
          </w:p>
          <w:p w14:paraId="0DA4F99F" w14:textId="62D119D7" w:rsidR="005B1CA8" w:rsidRPr="00BD3943" w:rsidRDefault="005B1CA8" w:rsidP="005B1CA8">
            <w:pPr>
              <w:rPr>
                <w:rFonts w:ascii="Verdana" w:hAnsi="Verdana"/>
              </w:rPr>
            </w:pPr>
            <w:r w:rsidRPr="00BD3943">
              <w:rPr>
                <w:rFonts w:ascii="Verdana" w:hAnsi="Verdana"/>
              </w:rPr>
              <w:t>Samples</w:t>
            </w:r>
            <w:r w:rsidR="00BD3943">
              <w:rPr>
                <w:rFonts w:ascii="Verdana" w:hAnsi="Verdana"/>
              </w:rPr>
              <w:t xml:space="preserve">: </w:t>
            </w:r>
            <w:r w:rsidRPr="00BD3943">
              <w:rPr>
                <w:rFonts w:ascii="Verdana" w:hAnsi="Verdana"/>
              </w:rPr>
              <w:t>inorganic</w:t>
            </w:r>
          </w:p>
          <w:p w14:paraId="0D08EF0E" w14:textId="4B9796F8" w:rsidR="005B1CA8" w:rsidRPr="00BD3943" w:rsidRDefault="005B1CA8" w:rsidP="005B1CA8">
            <w:pPr>
              <w:rPr>
                <w:rFonts w:ascii="Verdana" w:hAnsi="Verdana"/>
              </w:rPr>
            </w:pPr>
            <w:r w:rsidRPr="00BD3943">
              <w:rPr>
                <w:rFonts w:ascii="Verdana" w:hAnsi="Verdana"/>
              </w:rPr>
              <w:t>Furnace alignment</w:t>
            </w:r>
            <w:r w:rsidRPr="00BD3943">
              <w:rPr>
                <w:rFonts w:ascii="Verdana" w:hAnsi="Verdana"/>
              </w:rPr>
              <w:tab/>
            </w:r>
            <w:r w:rsidR="00BD3943">
              <w:rPr>
                <w:rFonts w:ascii="Verdana" w:hAnsi="Verdana"/>
              </w:rPr>
              <w:t xml:space="preserve">: </w:t>
            </w:r>
            <w:r w:rsidRPr="00BD3943">
              <w:rPr>
                <w:rFonts w:ascii="Verdana" w:hAnsi="Verdana"/>
              </w:rPr>
              <w:t>vertical</w:t>
            </w:r>
          </w:p>
          <w:p w14:paraId="2AC79898" w14:textId="504AB692" w:rsidR="005B1CA8" w:rsidRPr="00BD3943" w:rsidRDefault="005B1CA8" w:rsidP="005B1CA8">
            <w:pPr>
              <w:rPr>
                <w:rFonts w:ascii="Verdana" w:hAnsi="Verdana"/>
              </w:rPr>
            </w:pPr>
            <w:r w:rsidRPr="00BD3943">
              <w:rPr>
                <w:rFonts w:ascii="Verdana" w:hAnsi="Verdana"/>
              </w:rPr>
              <w:t>Sample carrier</w:t>
            </w:r>
            <w:r w:rsidR="00BD3943">
              <w:rPr>
                <w:rFonts w:ascii="Verdana" w:hAnsi="Verdana"/>
              </w:rPr>
              <w:t xml:space="preserve">: </w:t>
            </w:r>
            <w:r w:rsidRPr="00BD3943">
              <w:rPr>
                <w:rFonts w:ascii="Verdana" w:hAnsi="Verdana"/>
              </w:rPr>
              <w:t>graphite crucibles</w:t>
            </w:r>
          </w:p>
          <w:p w14:paraId="4635D503" w14:textId="77777777" w:rsidR="005B1CA8" w:rsidRPr="00BD3943" w:rsidRDefault="005B1CA8" w:rsidP="005B1CA8">
            <w:pPr>
              <w:rPr>
                <w:rFonts w:ascii="Verdana" w:hAnsi="Verdana"/>
              </w:rPr>
            </w:pPr>
            <w:r w:rsidRPr="00BD3943">
              <w:rPr>
                <w:rFonts w:ascii="Verdana" w:hAnsi="Verdana"/>
              </w:rPr>
              <w:t>Field of application</w:t>
            </w:r>
            <w:r w:rsidRPr="00BD3943">
              <w:rPr>
                <w:rFonts w:ascii="Verdana" w:hAnsi="Verdana"/>
              </w:rPr>
              <w:tab/>
              <w:t>ceramics, engineering / electronics, steel / metallurgy</w:t>
            </w:r>
          </w:p>
          <w:p w14:paraId="1A39AD1B" w14:textId="23E517BB" w:rsidR="005B1CA8" w:rsidRPr="00BD3943" w:rsidRDefault="005B1CA8" w:rsidP="005B1CA8">
            <w:pPr>
              <w:rPr>
                <w:rFonts w:ascii="Verdana" w:hAnsi="Verdana"/>
              </w:rPr>
            </w:pPr>
            <w:r w:rsidRPr="00BD3943">
              <w:rPr>
                <w:rFonts w:ascii="Verdana" w:hAnsi="Verdana"/>
              </w:rPr>
              <w:t>Furnace</w:t>
            </w:r>
            <w:r w:rsidR="00BD3943">
              <w:rPr>
                <w:rFonts w:ascii="Verdana" w:hAnsi="Verdana"/>
              </w:rPr>
              <w:t xml:space="preserve">: </w:t>
            </w:r>
            <w:r w:rsidRPr="00BD3943">
              <w:rPr>
                <w:rFonts w:ascii="Verdana" w:hAnsi="Verdana"/>
              </w:rPr>
              <w:t>electrode impulse furnace (max. 8,5 KW*), temperatures in excess of 3,000 °C</w:t>
            </w:r>
          </w:p>
          <w:p w14:paraId="31B2B68E" w14:textId="618EED36" w:rsidR="005B1CA8" w:rsidRPr="00BD3943" w:rsidRDefault="005B1CA8" w:rsidP="005B1CA8">
            <w:pPr>
              <w:rPr>
                <w:rFonts w:ascii="Verdana" w:hAnsi="Verdana"/>
              </w:rPr>
            </w:pPr>
            <w:r w:rsidRPr="00BD3943">
              <w:rPr>
                <w:rFonts w:ascii="Verdana" w:hAnsi="Verdana"/>
              </w:rPr>
              <w:t>Detection method</w:t>
            </w:r>
            <w:r w:rsidR="00BD3943">
              <w:rPr>
                <w:rFonts w:ascii="Verdana" w:hAnsi="Verdana"/>
              </w:rPr>
              <w:t xml:space="preserve">: </w:t>
            </w:r>
            <w:r w:rsidRPr="00BD3943">
              <w:rPr>
                <w:rFonts w:ascii="Verdana" w:hAnsi="Verdana"/>
              </w:rPr>
              <w:t>solid state infrared absorption for oxygen, thermal conductivity for hydrogen</w:t>
            </w:r>
          </w:p>
          <w:p w14:paraId="301245F2" w14:textId="46E64E53" w:rsidR="005B1CA8" w:rsidRPr="00BD3943" w:rsidRDefault="005B1CA8" w:rsidP="005B1CA8">
            <w:pPr>
              <w:rPr>
                <w:rFonts w:ascii="Verdana" w:hAnsi="Verdana"/>
              </w:rPr>
            </w:pPr>
            <w:r w:rsidRPr="00BD3943">
              <w:rPr>
                <w:rFonts w:ascii="Verdana" w:hAnsi="Verdana"/>
              </w:rPr>
              <w:t>Typical analysis time</w:t>
            </w:r>
            <w:r w:rsidR="00BD3943">
              <w:rPr>
                <w:rFonts w:ascii="Verdana" w:hAnsi="Verdana"/>
              </w:rPr>
              <w:t xml:space="preserve">: </w:t>
            </w:r>
            <w:r w:rsidRPr="00BD3943">
              <w:rPr>
                <w:rFonts w:ascii="Verdana" w:hAnsi="Verdana"/>
              </w:rPr>
              <w:t>120 - 180 s</w:t>
            </w:r>
          </w:p>
          <w:p w14:paraId="48121F05" w14:textId="77777777" w:rsidR="005B1CA8" w:rsidRPr="00BD3943" w:rsidRDefault="005B1CA8" w:rsidP="005B1CA8">
            <w:pPr>
              <w:rPr>
                <w:rFonts w:ascii="Verdana" w:hAnsi="Verdana"/>
              </w:rPr>
            </w:pPr>
            <w:r w:rsidRPr="00BD3943">
              <w:rPr>
                <w:rFonts w:ascii="Verdana" w:hAnsi="Verdana"/>
              </w:rPr>
              <w:lastRenderedPageBreak/>
              <w:t>Chemicals required</w:t>
            </w:r>
            <w:r w:rsidRPr="00BD3943">
              <w:rPr>
                <w:rFonts w:ascii="Verdana" w:hAnsi="Verdana"/>
              </w:rPr>
              <w:tab/>
            </w:r>
            <w:proofErr w:type="spellStart"/>
            <w:r w:rsidRPr="00BD3943">
              <w:rPr>
                <w:rFonts w:ascii="Verdana" w:hAnsi="Verdana"/>
              </w:rPr>
              <w:t>Schuetze</w:t>
            </w:r>
            <w:proofErr w:type="spellEnd"/>
            <w:r w:rsidRPr="00BD3943">
              <w:rPr>
                <w:rFonts w:ascii="Verdana" w:hAnsi="Verdana"/>
              </w:rPr>
              <w:t xml:space="preserve"> reagents, magnesium perchlorate, sodium hydroxide</w:t>
            </w:r>
          </w:p>
          <w:p w14:paraId="7A3CCEF1" w14:textId="77777777" w:rsidR="005B1CA8" w:rsidRPr="00BD3943" w:rsidRDefault="005B1CA8" w:rsidP="005B1CA8">
            <w:pPr>
              <w:rPr>
                <w:rFonts w:ascii="Verdana" w:hAnsi="Verdana"/>
              </w:rPr>
            </w:pPr>
            <w:r w:rsidRPr="00BD3943">
              <w:rPr>
                <w:rFonts w:ascii="Verdana" w:hAnsi="Verdana"/>
              </w:rPr>
              <w:t>Gas required</w:t>
            </w:r>
            <w:r w:rsidRPr="00BD3943">
              <w:rPr>
                <w:rFonts w:ascii="Verdana" w:hAnsi="Verdana"/>
              </w:rPr>
              <w:tab/>
              <w:t>compressed air, nitrogen 99.995 % pure, all gases with (2 - 4 bar / 30 - 60 psi)</w:t>
            </w:r>
          </w:p>
          <w:p w14:paraId="09DBE260" w14:textId="2F3A7096" w:rsidR="005B1CA8" w:rsidRPr="00BD3943" w:rsidRDefault="005B1CA8" w:rsidP="005B1CA8">
            <w:pPr>
              <w:rPr>
                <w:rFonts w:ascii="Verdana" w:hAnsi="Verdana"/>
              </w:rPr>
            </w:pPr>
            <w:r w:rsidRPr="00BD3943">
              <w:rPr>
                <w:rFonts w:ascii="Verdana" w:hAnsi="Verdana"/>
              </w:rPr>
              <w:t>Power requirements</w:t>
            </w:r>
            <w:r w:rsidR="00BD3943">
              <w:rPr>
                <w:rFonts w:ascii="Verdana" w:hAnsi="Verdana"/>
              </w:rPr>
              <w:t xml:space="preserve">: </w:t>
            </w:r>
            <w:r w:rsidRPr="00BD3943">
              <w:rPr>
                <w:rFonts w:ascii="Verdana" w:hAnsi="Verdana"/>
              </w:rPr>
              <w:t>3~ 400 V, 50/60 Hz, max. 8,500 W</w:t>
            </w:r>
          </w:p>
          <w:p w14:paraId="538822DD" w14:textId="47E7875A" w:rsidR="005B1CA8" w:rsidRPr="00BD3943" w:rsidRDefault="005B1CA8" w:rsidP="005B1CA8">
            <w:pPr>
              <w:rPr>
                <w:rFonts w:ascii="Verdana" w:hAnsi="Verdana"/>
              </w:rPr>
            </w:pPr>
            <w:r w:rsidRPr="00BD3943">
              <w:rPr>
                <w:rFonts w:ascii="Verdana" w:hAnsi="Verdana"/>
              </w:rPr>
              <w:t>Dimensions (W x H x D)</w:t>
            </w:r>
            <w:r w:rsidR="00BD3943">
              <w:rPr>
                <w:rFonts w:ascii="Verdana" w:hAnsi="Verdana"/>
              </w:rPr>
              <w:t xml:space="preserve">: </w:t>
            </w:r>
            <w:r w:rsidRPr="00BD3943">
              <w:rPr>
                <w:rFonts w:ascii="Verdana" w:hAnsi="Verdana"/>
              </w:rPr>
              <w:t>56 x 78 x 64 cm</w:t>
            </w:r>
          </w:p>
          <w:p w14:paraId="28AE55A6" w14:textId="184062E3" w:rsidR="005B1CA8" w:rsidRPr="00BD3943" w:rsidRDefault="005B1CA8" w:rsidP="005B1CA8">
            <w:pPr>
              <w:rPr>
                <w:rFonts w:ascii="Verdana" w:hAnsi="Verdana"/>
              </w:rPr>
            </w:pPr>
            <w:r w:rsidRPr="00BD3943">
              <w:rPr>
                <w:rFonts w:ascii="Verdana" w:hAnsi="Verdana"/>
              </w:rPr>
              <w:t>Weight~ 165 kg</w:t>
            </w:r>
          </w:p>
          <w:p w14:paraId="1D208FC2" w14:textId="26EACF01" w:rsidR="005B1CA8" w:rsidRPr="00BD3943" w:rsidRDefault="005B1CA8" w:rsidP="005B1CA8">
            <w:pPr>
              <w:rPr>
                <w:rFonts w:ascii="Verdana" w:hAnsi="Verdana"/>
              </w:rPr>
            </w:pPr>
            <w:r w:rsidRPr="00BD3943">
              <w:rPr>
                <w:rFonts w:ascii="Verdana" w:hAnsi="Verdana"/>
              </w:rPr>
              <w:t>Required equipment</w:t>
            </w:r>
            <w:r w:rsidR="00BD3943">
              <w:rPr>
                <w:rFonts w:ascii="Verdana" w:hAnsi="Verdana"/>
              </w:rPr>
              <w:t xml:space="preserve">: </w:t>
            </w:r>
            <w:r w:rsidRPr="00BD3943">
              <w:rPr>
                <w:rFonts w:ascii="Verdana" w:hAnsi="Verdana"/>
              </w:rPr>
              <w:t>PC, monitor, balance (resolution 0.0001g)</w:t>
            </w:r>
          </w:p>
          <w:p w14:paraId="3CEE323E" w14:textId="77777777" w:rsidR="005B1CA8" w:rsidRPr="00BD3943" w:rsidRDefault="005B1CA8" w:rsidP="005B1CA8">
            <w:pPr>
              <w:rPr>
                <w:rFonts w:ascii="Verdana" w:hAnsi="Verdana"/>
                <w:b/>
                <w:bCs/>
                <w:color w:val="2E74B5" w:themeColor="accent5" w:themeShade="BF"/>
              </w:rPr>
            </w:pPr>
            <w:r w:rsidRPr="00BD3943">
              <w:rPr>
                <w:rFonts w:ascii="Verdana" w:hAnsi="Verdana"/>
                <w:b/>
                <w:bCs/>
                <w:color w:val="2E74B5" w:themeColor="accent5" w:themeShade="BF"/>
              </w:rPr>
              <w:t>Included Articles</w:t>
            </w:r>
          </w:p>
          <w:p w14:paraId="1465D628" w14:textId="77777777" w:rsidR="005B1CA8" w:rsidRPr="00BD3943" w:rsidRDefault="005B1CA8" w:rsidP="005B1CA8">
            <w:pPr>
              <w:rPr>
                <w:rFonts w:ascii="Verdana" w:hAnsi="Verdana"/>
              </w:rPr>
            </w:pPr>
            <w:r w:rsidRPr="00BD3943">
              <w:rPr>
                <w:rFonts w:ascii="Verdana" w:hAnsi="Verdana"/>
              </w:rPr>
              <w:t>Optional accessories</w:t>
            </w:r>
            <w:r w:rsidRPr="00BD3943">
              <w:rPr>
                <w:rFonts w:ascii="Verdana" w:hAnsi="Verdana"/>
              </w:rPr>
              <w:t xml:space="preserve">: </w:t>
            </w:r>
            <w:r w:rsidRPr="00BD3943">
              <w:rPr>
                <w:rFonts w:ascii="Verdana" w:hAnsi="Verdana"/>
              </w:rPr>
              <w:t>carrier gas purification, external chiller, gas calibration unit</w:t>
            </w:r>
          </w:p>
          <w:p w14:paraId="304BC639" w14:textId="77777777" w:rsidR="00BD3943" w:rsidRPr="00BD3943" w:rsidRDefault="00BD3943" w:rsidP="005B1CA8">
            <w:pPr>
              <w:rPr>
                <w:rFonts w:ascii="Verdana" w:hAnsi="Verdana"/>
                <w:b/>
                <w:bCs/>
                <w:color w:val="2E74B5" w:themeColor="accent5" w:themeShade="BF"/>
              </w:rPr>
            </w:pPr>
            <w:r w:rsidRPr="00BD3943">
              <w:rPr>
                <w:rFonts w:ascii="Verdana" w:hAnsi="Verdana"/>
                <w:b/>
                <w:bCs/>
                <w:color w:val="2E74B5" w:themeColor="accent5" w:themeShade="BF"/>
              </w:rPr>
              <w:t>Documentation</w:t>
            </w:r>
          </w:p>
          <w:p w14:paraId="4DA8BE96" w14:textId="77777777" w:rsidR="00BD3943" w:rsidRPr="00BD3943" w:rsidRDefault="00BD3943" w:rsidP="00BD3943">
            <w:pPr>
              <w:numPr>
                <w:ilvl w:val="0"/>
                <w:numId w:val="2"/>
              </w:numPr>
              <w:ind w:left="740"/>
              <w:contextualSpacing/>
              <w:rPr>
                <w:rFonts w:ascii="Verdana" w:eastAsia="Times New Roman" w:hAnsi="Verdana" w:cs="Times New Roman"/>
              </w:rPr>
            </w:pPr>
            <w:r w:rsidRPr="00BD3943">
              <w:rPr>
                <w:rFonts w:ascii="Verdana" w:eastAsia="Times New Roman" w:hAnsi="Verdana" w:cs="Times New Roman"/>
              </w:rPr>
              <w:t>CE marking and declaration conformity</w:t>
            </w:r>
          </w:p>
          <w:p w14:paraId="49238488" w14:textId="77777777" w:rsidR="00BD3943" w:rsidRDefault="00BD3943" w:rsidP="00BD3943">
            <w:pPr>
              <w:numPr>
                <w:ilvl w:val="0"/>
                <w:numId w:val="2"/>
              </w:numPr>
              <w:ind w:left="740"/>
              <w:contextualSpacing/>
              <w:rPr>
                <w:rFonts w:ascii="Verdana" w:eastAsia="Times New Roman" w:hAnsi="Verdana" w:cs="Times New Roman"/>
              </w:rPr>
            </w:pPr>
            <w:r w:rsidRPr="00BD3943">
              <w:rPr>
                <w:rFonts w:ascii="Verdana" w:eastAsia="Times New Roman" w:hAnsi="Verdana" w:cs="Times New Roman"/>
              </w:rPr>
              <w:t>Documents for the Installation and Operational Qualification (IQ / OQ)</w:t>
            </w:r>
          </w:p>
          <w:p w14:paraId="3FDDB2B0" w14:textId="50A44623" w:rsidR="00BD3943" w:rsidRPr="00BD3943" w:rsidRDefault="00BD3943" w:rsidP="00BD3943">
            <w:pPr>
              <w:numPr>
                <w:ilvl w:val="0"/>
                <w:numId w:val="2"/>
              </w:numPr>
              <w:ind w:left="740"/>
              <w:contextualSpacing/>
              <w:rPr>
                <w:rFonts w:ascii="Verdana" w:eastAsia="Times New Roman" w:hAnsi="Verdana" w:cs="Times New Roman"/>
              </w:rPr>
            </w:pPr>
            <w:r w:rsidRPr="00BD3943">
              <w:rPr>
                <w:rFonts w:ascii="Verdana" w:eastAsia="Times New Roman" w:hAnsi="Verdana" w:cs="Times New Roman"/>
              </w:rPr>
              <w:t>Functional Specification - Design Qualification (DQ) and others relevant document</w:t>
            </w:r>
          </w:p>
        </w:tc>
        <w:tc>
          <w:tcPr>
            <w:tcW w:w="2070" w:type="dxa"/>
          </w:tcPr>
          <w:p w14:paraId="371CE234" w14:textId="24125C79" w:rsidR="005B1CA8" w:rsidRPr="00BD3943" w:rsidRDefault="005B1CA8">
            <w:pPr>
              <w:rPr>
                <w:rFonts w:ascii="Verdana" w:hAnsi="Verdana"/>
              </w:rPr>
            </w:pPr>
            <w:r w:rsidRPr="00BD3943">
              <w:rPr>
                <w:rFonts w:ascii="Verdana" w:hAnsi="Verdana"/>
              </w:rPr>
              <w:lastRenderedPageBreak/>
              <w:t>Pcs</w:t>
            </w:r>
          </w:p>
        </w:tc>
        <w:tc>
          <w:tcPr>
            <w:tcW w:w="1800" w:type="dxa"/>
          </w:tcPr>
          <w:p w14:paraId="6A1EBDAE" w14:textId="6F72440D" w:rsidR="005B1CA8" w:rsidRPr="00BD3943" w:rsidRDefault="005B1CA8">
            <w:pPr>
              <w:rPr>
                <w:rFonts w:ascii="Verdana" w:hAnsi="Verdana"/>
              </w:rPr>
            </w:pPr>
            <w:r w:rsidRPr="00BD3943">
              <w:rPr>
                <w:rFonts w:ascii="Verdana" w:hAnsi="Verdana"/>
              </w:rPr>
              <w:t>1</w:t>
            </w:r>
          </w:p>
        </w:tc>
      </w:tr>
    </w:tbl>
    <w:p w14:paraId="41CE4ABC" w14:textId="77777777" w:rsidR="00BB7A33" w:rsidRDefault="00BB7A33"/>
    <w:sectPr w:rsidR="00BB7A33" w:rsidSect="005B1C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1153"/>
    <w:multiLevelType w:val="hybridMultilevel"/>
    <w:tmpl w:val="CAFCC0B2"/>
    <w:lvl w:ilvl="0" w:tplc="FA4499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19C390C"/>
    <w:multiLevelType w:val="multilevel"/>
    <w:tmpl w:val="88B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131226">
    <w:abstractNumId w:val="1"/>
  </w:num>
  <w:num w:numId="2" w16cid:durableId="106537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33"/>
    <w:rsid w:val="005B1CA8"/>
    <w:rsid w:val="00BB7A33"/>
    <w:rsid w:val="00BD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FC23"/>
  <w15:chartTrackingRefBased/>
  <w15:docId w15:val="{030CE65E-30FD-4339-9E6A-A60D9C17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Birhanu</dc:creator>
  <cp:keywords/>
  <dc:description/>
  <cp:lastModifiedBy>Samrawit Birhanu</cp:lastModifiedBy>
  <cp:revision>2</cp:revision>
  <dcterms:created xsi:type="dcterms:W3CDTF">2022-07-20T14:48:00Z</dcterms:created>
  <dcterms:modified xsi:type="dcterms:W3CDTF">2022-07-20T15:00:00Z</dcterms:modified>
</cp:coreProperties>
</file>